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kntgv0akk8tl" w:id="0"/>
      <w:bookmarkEnd w:id="0"/>
      <w:r w:rsidDel="00000000" w:rsidR="00000000" w:rsidRPr="00000000">
        <w:rPr>
          <w:b w:val="1"/>
          <w:bCs w:val="1"/>
          <w:color w:val="1b1b1b"/>
          <w:sz w:val="90"/>
          <w:szCs w:val="90"/>
          <w:rtl w:val="0"/>
        </w:rPr>
        <w:t xml:space="preserve">bit.bio closes a $50 million series C round after its 2025 restructuring</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7dnyn596wd7i" w:id="1"/>
      <w:bookmarkEnd w:id="1"/>
      <w:r w:rsidDel="00000000" w:rsidR="00000000" w:rsidRPr="00000000">
        <w:rPr>
          <w:sz w:val="50"/>
          <w:szCs w:val="50"/>
          <w:rtl w:val="0"/>
        </w:rPr>
        <w:t xml:space="preserve">bit.bio has raised $50 million in a series C round led by M&amp;G Investments to support the next phase of its human cell programming business. The Cambridge-based company develops defined human cells using its opti-ox technology, supplying reproducible cell types to researchers and drug developers for use in drug discovery.</w:t>
      </w:r>
    </w:p>
    <w:p w:rsidR="00000000" w:rsidDel="00000000" w:rsidP="00000000" w:rsidRDefault="00000000" w:rsidRPr="00000000" w14:paraId="00000003">
      <w:pPr>
        <w:rPr>
          <w:i w:val="1"/>
          <w:iCs w:val="1"/>
          <w:sz w:val="17"/>
          <w:szCs w:val="17"/>
        </w:rPr>
      </w:pPr>
      <w:r w:rsidDel="00000000" w:rsidR="00000000" w:rsidRPr="00000000">
        <w:rPr>
          <w:rtl w:val="0"/>
        </w:rPr>
      </w:r>
    </w:p>
    <w:p w:rsidR="00000000" w:rsidDel="00000000" w:rsidP="00000000" w:rsidRDefault="00000000" w:rsidRPr="00000000" w14:paraId="00000004">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bit.bio has raised $50 million in a series C round led by M&amp;G Investments to support the next phase of its human cell programming business. The Cambridge-based company develops defined human cells using its opti-ox technology, supplying reproducible cell types to researchers and drug developers for use in drug discovery.</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funding comes after a strategic reset in 2025, when bit.bio stepped back from developing its own cell therapies and restructured the business to focus on its platform and tools offering. That shift included job cuts and the wind-down of an internal therapeutics program, repositioning the company as a cell programming and manufacturing specialist rather than a drug developer.</w:t>
      </w:r>
    </w:p>
    <w:p w:rsidR="00000000" w:rsidDel="00000000" w:rsidP="00000000" w:rsidRDefault="00000000" w:rsidRPr="00000000" w14:paraId="00000006">
      <w:pPr>
        <w:pStyle w:val="Heading2"/>
        <w:keepNext w:val="0"/>
        <w:keepLines w:val="0"/>
        <w:spacing w:after="80" w:lineRule="auto"/>
        <w:rPr>
          <w:b w:val="1"/>
          <w:bCs w:val="1"/>
          <w:color w:val="1b1b1b"/>
          <w:sz w:val="49"/>
          <w:szCs w:val="49"/>
        </w:rPr>
      </w:pPr>
      <w:bookmarkStart w:colFirst="0" w:colLast="0" w:name="_1swbw5z1khyk" w:id="2"/>
      <w:bookmarkEnd w:id="2"/>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color w:val="1b1b1b"/>
          <w:sz w:val="49"/>
          <w:szCs w:val="49"/>
        </w:rPr>
      </w:pPr>
      <w:bookmarkStart w:colFirst="0" w:colLast="0" w:name="_bt6cdzvqif28" w:id="3"/>
      <w:bookmarkEnd w:id="3"/>
      <w:r w:rsidDel="00000000" w:rsidR="00000000" w:rsidRPr="00000000">
        <w:rPr>
          <w:b w:val="1"/>
          <w:bCs w:val="1"/>
          <w:color w:val="1b1b1b"/>
          <w:sz w:val="49"/>
          <w:szCs w:val="49"/>
          <w:rtl w:val="0"/>
        </w:rPr>
        <w:t xml:space="preserve">bit.bio after 2025: from therapeutics ambition to tools provider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In early 2025, the company </w:t>
      </w:r>
      <w:hyperlink r:id="rId6">
        <w:r w:rsidDel="00000000" w:rsidR="00000000" w:rsidRPr="00000000">
          <w:rPr>
            <w:color w:val="416ed2"/>
            <w:sz w:val="27"/>
            <w:szCs w:val="27"/>
            <w:rtl w:val="0"/>
          </w:rPr>
          <w:t xml:space="preserve">reduced</w:t>
        </w:r>
      </w:hyperlink>
      <w:r w:rsidDel="00000000" w:rsidR="00000000" w:rsidRPr="00000000">
        <w:rPr>
          <w:color w:val="1b1b1b"/>
          <w:sz w:val="27"/>
          <w:szCs w:val="27"/>
          <w:rtl w:val="0"/>
        </w:rPr>
        <w:t xml:space="preserve"> its workforce by around 25% and made the decision to wind down its internal therapeutics efforts, choosing instead to concentrate on its cell programming and manufacturing capabilities. At the time, bit.bio said the move was aimed at sharpening its focus on areas where it sees the strongest commercial traction, meaning supplying defined human cells and related tools to researchers and drug developers.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This was a break from the company’s earlier ambitions in cell therapy. At the time, bit.bio was roughly 18 months away from filing for a clinical trial for its lead liver cell therapy program.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Before it made the decision to fully drop its therapeutics development, bit.bio had begun shifting toward a broader platform play. In December 2024, the company </w:t>
      </w:r>
      <w:hyperlink r:id="rId7">
        <w:r w:rsidDel="00000000" w:rsidR="00000000" w:rsidRPr="00000000">
          <w:rPr>
            <w:color w:val="416ed2"/>
            <w:sz w:val="27"/>
            <w:szCs w:val="27"/>
            <w:rtl w:val="0"/>
          </w:rPr>
          <w:t xml:space="preserve">raised</w:t>
        </w:r>
      </w:hyperlink>
      <w:r w:rsidDel="00000000" w:rsidR="00000000" w:rsidRPr="00000000">
        <w:rPr>
          <w:color w:val="1b1b1b"/>
          <w:sz w:val="27"/>
          <w:szCs w:val="27"/>
          <w:rtl w:val="0"/>
        </w:rPr>
        <w:t xml:space="preserve"> $30 million, already led by M&amp;G Investments, bringing in new board members with experience in research tools, including Jonathan Milner, Abcam’s founder, taking the interim CEO spot, and company founder </w:t>
      </w:r>
      <w:hyperlink r:id="rId8">
        <w:r w:rsidDel="00000000" w:rsidR="00000000" w:rsidRPr="00000000">
          <w:rPr>
            <w:color w:val="416ed2"/>
            <w:sz w:val="27"/>
            <w:szCs w:val="27"/>
            <w:rtl w:val="0"/>
          </w:rPr>
          <w:t xml:space="preserve">Mark Kotter</w:t>
        </w:r>
      </w:hyperlink>
      <w:r w:rsidDel="00000000" w:rsidR="00000000" w:rsidRPr="00000000">
        <w:rPr>
          <w:color w:val="1b1b1b"/>
          <w:sz w:val="27"/>
          <w:szCs w:val="27"/>
          <w:rtl w:val="0"/>
        </w:rPr>
        <w:t xml:space="preserve"> stepping down from the position.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That round was described as accelerating bit.bio’s transformation into a provider of human cells for research, drug discovery, and, potentially, cell therapies, rather than solely developing internal pipeline programs. The focus was on commercializing bit.bio’s opti-ox cell programming technology and expanding its ioCells portfolio of reproducible human cell types for external customers.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strategic refocus in 2025 was also accompanied by changes at the top of the organization. Milner stepped down from the CEO role after a brief interim period, and then-CFO Przemek Obloj took over as chief executive. bit.bio also simplified its board in early 2025, with several people stepping down as the company adjusted its governance to match its narrower operational scope.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mbridgeindependent.co.uk/business/one-quarter-of-bit-bio-s-staff-axed-as-stem-cell-company-dro-9409447/" TargetMode="External"/><Relationship Id="rId7" Type="http://schemas.openxmlformats.org/officeDocument/2006/relationships/hyperlink" Target="https://www.bit.bio/news/raises-30-million-led-by-mg-investments-to-focus-on-tools-for-the-research-drug-discovery-and-cell-therapy-markets" TargetMode="External"/><Relationship Id="rId8" Type="http://schemas.openxmlformats.org/officeDocument/2006/relationships/hyperlink" Target="https://european-biotechnology.com/background/biology-as-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