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560" w:before="0" w:lineRule="auto"/>
        <w:rPr>
          <w:rFonts w:ascii="Roboto" w:cs="Roboto" w:eastAsia="Roboto" w:hAnsi="Roboto"/>
          <w:sz w:val="138"/>
          <w:szCs w:val="138"/>
        </w:rPr>
      </w:pPr>
      <w:bookmarkStart w:colFirst="0" w:colLast="0" w:name="_olr6yl98so3a" w:id="0"/>
      <w:bookmarkEnd w:id="0"/>
      <w:r w:rsidDel="00000000" w:rsidR="00000000" w:rsidRPr="00000000">
        <w:rPr>
          <w:rFonts w:ascii="Roboto" w:cs="Roboto" w:eastAsia="Roboto" w:hAnsi="Roboto"/>
          <w:sz w:val="138"/>
          <w:szCs w:val="138"/>
          <w:rtl w:val="0"/>
        </w:rPr>
        <w:t xml:space="preserve">M&amp;G to commit £1bn to UK housing market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20" w:line="360" w:lineRule="auto"/>
        <w:rPr>
          <w:color w:val="333333"/>
          <w:sz w:val="26"/>
          <w:szCs w:val="26"/>
        </w:rPr>
      </w:pPr>
      <w:r w:rsidDel="00000000" w:rsidR="00000000" w:rsidRPr="00000000">
        <w:rPr>
          <w:color w:val="333333"/>
          <w:sz w:val="26"/>
          <w:szCs w:val="26"/>
          <w:rtl w:val="0"/>
        </w:rPr>
        <w:t xml:space="preserve">One of the UK’s largest asset managers, M&amp;G, has announced plans to invest £1 billion into the UK economy over the next three to five years.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20" w:line="360" w:lineRule="auto"/>
        <w:rPr>
          <w:color w:val="333333"/>
          <w:sz w:val="26"/>
          <w:szCs w:val="26"/>
        </w:rPr>
      </w:pPr>
      <w:r w:rsidDel="00000000" w:rsidR="00000000" w:rsidRPr="00000000">
        <w:rPr>
          <w:color w:val="333333"/>
          <w:sz w:val="26"/>
          <w:szCs w:val="26"/>
          <w:rtl w:val="0"/>
        </w:rPr>
        <w:t xml:space="preserve">In addition to investing in the housing market, M&amp;G will also be looking to support regeneration projects, infrastructure and innovative companies.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20" w:line="360" w:lineRule="auto"/>
        <w:rPr>
          <w:color w:val="333333"/>
          <w:sz w:val="26"/>
          <w:szCs w:val="26"/>
        </w:rPr>
      </w:pPr>
      <w:r w:rsidDel="00000000" w:rsidR="00000000" w:rsidRPr="00000000">
        <w:rPr>
          <w:color w:val="333333"/>
          <w:sz w:val="26"/>
          <w:szCs w:val="26"/>
          <w:rtl w:val="0"/>
        </w:rPr>
        <w:t xml:space="preserve">It will launch two funds, the M&amp;G UK Social Investment Fund and the M&amp;G Catalyst Growth Equity Fund, that will channel capital from pension funds and institutional investors.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20" w:line="360" w:lineRule="auto"/>
        <w:rPr>
          <w:color w:val="333333"/>
          <w:sz w:val="26"/>
          <w:szCs w:val="26"/>
        </w:rPr>
      </w:pPr>
      <w:r w:rsidDel="00000000" w:rsidR="00000000" w:rsidRPr="00000000">
        <w:rPr>
          <w:color w:val="333333"/>
          <w:sz w:val="26"/>
          <w:szCs w:val="26"/>
          <w:rtl w:val="0"/>
        </w:rPr>
        <w:t xml:space="preserve">These include the British Business Bank, Local Government Pension Scheme and Scottish Borders Council Pension Fund.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20" w:line="360" w:lineRule="auto"/>
        <w:rPr>
          <w:color w:val="333333"/>
          <w:sz w:val="26"/>
          <w:szCs w:val="26"/>
        </w:rPr>
      </w:pPr>
      <w:r w:rsidDel="00000000" w:rsidR="00000000" w:rsidRPr="00000000">
        <w:rPr>
          <w:color w:val="333333"/>
          <w:sz w:val="26"/>
          <w:szCs w:val="26"/>
          <w:rtl w:val="0"/>
        </w:rPr>
        <w:t xml:space="preserve">The Social Investment Fund will be managed by M&amp;G’s private markets business and will focus on “positive social outcomes… essential infrastructure… and community wellbeing”.</w:t>
      </w:r>
    </w:p>
    <w:p w:rsidR="00000000" w:rsidDel="00000000" w:rsidP="00000000" w:rsidRDefault="00000000" w:rsidRPr="00000000" w14:paraId="000000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20" w:line="360" w:lineRule="auto"/>
        <w:rPr>
          <w:color w:val="333333"/>
          <w:sz w:val="26"/>
          <w:szCs w:val="26"/>
        </w:rPr>
      </w:pPr>
      <w:r w:rsidDel="00000000" w:rsidR="00000000" w:rsidRPr="00000000">
        <w:rPr>
          <w:color w:val="333333"/>
          <w:sz w:val="26"/>
          <w:szCs w:val="26"/>
          <w:rtl w:val="0"/>
        </w:rPr>
        <w:t xml:space="preserve">“By unlocking capital from British savers and international partners, M&amp;G is poised to build critical infrastructure, support the growth of British businesses, while laying the foundations for a more productive, sustainable economy and stronger communities across the country,” said Andrea Rossi, M&amp;G chief executive.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