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color w:val="1b1b1b"/>
          <w:sz w:val="27"/>
          <w:szCs w:val="27"/>
        </w:rPr>
      </w:pPr>
      <w:bookmarkStart w:colFirst="0" w:colLast="0" w:name="_h52iafhkrxfe" w:id="0"/>
      <w:bookmarkEnd w:id="0"/>
      <w:r w:rsidDel="00000000" w:rsidR="00000000" w:rsidRPr="00000000">
        <w:rPr>
          <w:b w:val="1"/>
          <w:bCs w:val="1"/>
          <w:color w:val="1b1b1b"/>
          <w:sz w:val="90"/>
          <w:szCs w:val="90"/>
          <w:rtl w:val="0"/>
        </w:rPr>
        <w:t xml:space="preserve">M&amp;G commits £1 billion to power UK innovation, infrastructure and affordable housing</w:t>
      </w:r>
      <w:r w:rsidDel="00000000" w:rsidR="00000000" w:rsidRPr="00000000">
        <w:rPr>
          <w:rtl w:val="0"/>
        </w:rPr>
      </w:r>
    </w:p>
    <w:p w:rsidR="00000000" w:rsidDel="00000000" w:rsidP="00000000" w:rsidRDefault="00000000" w:rsidRPr="00000000" w14:paraId="00000002">
      <w:pPr>
        <w:spacing w:after="280" w:before="280" w:lineRule="auto"/>
        <w:rPr>
          <w:b w:val="1"/>
          <w:bCs w:val="1"/>
          <w:color w:val="1b1b1b"/>
          <w:sz w:val="27"/>
          <w:szCs w:val="27"/>
        </w:rPr>
      </w:pPr>
      <w:r w:rsidDel="00000000" w:rsidR="00000000" w:rsidRPr="00000000">
        <w:rPr>
          <w:b w:val="1"/>
          <w:bCs w:val="1"/>
          <w:color w:val="1b1b1b"/>
          <w:sz w:val="27"/>
          <w:szCs w:val="27"/>
          <w:rtl w:val="0"/>
        </w:rPr>
        <w:t xml:space="preserve">M&amp;G plc has announced its ambition to supercharge the impact of institutional capital by investing over £1 billion into the UK economy over the next three to five years to support new affordable homes, regeneration projects, infrastructure and innovative companies.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Through the launch of two funds, M&amp;G will channel capital from its Life business, the British Business Bank and Local Government Pension Scheme (LGPS), Scottish Borders Council Pension Fund.</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M&amp;G has over £100 billion invested in the UK economy and aims to attract further investment from LGPS and international investors into the forthcoming </w:t>
      </w:r>
      <w:r w:rsidDel="00000000" w:rsidR="00000000" w:rsidRPr="00000000">
        <w:rPr>
          <w:b w:val="1"/>
          <w:bCs w:val="1"/>
          <w:color w:val="1b1b1b"/>
          <w:sz w:val="27"/>
          <w:szCs w:val="27"/>
          <w:rtl w:val="0"/>
        </w:rPr>
        <w:t xml:space="preserve">M&amp;G UK Social Investment Fund</w:t>
      </w:r>
      <w:r w:rsidDel="00000000" w:rsidR="00000000" w:rsidRPr="00000000">
        <w:rPr>
          <w:color w:val="1b1b1b"/>
          <w:sz w:val="27"/>
          <w:szCs w:val="27"/>
          <w:rtl w:val="0"/>
        </w:rPr>
        <w:t xml:space="preserve"> (the Fund), alongside other long-term investors including DC pension schemes, endowments and charitable foundations. It is setto launch with a £130 million commitment from Scottish Borders Council Pension Fund and M&amp;G’s multi-billion With Profits Fund.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Aligning with the Government’s aim to encourage LGPS assets to boost UK economic growth, the Fund will focus on delivering positive social outcomes through urban regeneration, affordable homes, clean energy and essential infrastructure that improve health and community wellbeing. Managed by M&amp;G’s £78.5 billion private markets business, it will enable largescale investment into bespoke projects to drive meaningful change and help savers see the real- world impact of their pension savings. Early pipeline opportunities include partnering with local authorities and registered providers to deliver purpose-built accommodation for young care leavers and additional affordable housing.</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 addition, M&amp;G also announces that its</w:t>
      </w:r>
      <w:r w:rsidDel="00000000" w:rsidR="00000000" w:rsidRPr="00000000">
        <w:rPr>
          <w:b w:val="1"/>
          <w:bCs w:val="1"/>
          <w:color w:val="1b1b1b"/>
          <w:sz w:val="27"/>
          <w:szCs w:val="27"/>
          <w:rtl w:val="0"/>
        </w:rPr>
        <w:t xml:space="preserve"> M&amp;G Catalyst Growth Equity Fund</w:t>
      </w:r>
      <w:r w:rsidDel="00000000" w:rsidR="00000000" w:rsidRPr="00000000">
        <w:rPr>
          <w:color w:val="1b1b1b"/>
          <w:sz w:val="27"/>
          <w:szCs w:val="27"/>
          <w:rtl w:val="0"/>
        </w:rPr>
        <w:t xml:space="preserve"> (Catalyst), has secured commitments in excess of $850 million, including capital from M&amp;G’s With Profits Fund and $100 million from the British Business Bank, alongside other institutional investors*.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Catalyst invests in innovative private companies in the UK and internationally that can deliver both financial returns and measurable social and environmental impact. These companies are often university spinouts, and with the help of scale-up capital from Catalyst, can become market leaders in technology, healthcare and sustainability.</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