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CBE8" w14:textId="77777777" w:rsidR="00753B78" w:rsidRDefault="00000000">
      <w:pPr>
        <w:pStyle w:val="Heading1"/>
        <w:keepNext w:val="0"/>
        <w:keepLines w:val="0"/>
        <w:spacing w:before="0" w:after="460" w:line="291" w:lineRule="auto"/>
        <w:rPr>
          <w:b/>
          <w:bCs/>
          <w:color w:val="1B1B1B"/>
          <w:sz w:val="90"/>
          <w:szCs w:val="90"/>
        </w:rPr>
      </w:pPr>
      <w:bookmarkStart w:id="0" w:name="_v6x5mu7ynf5b" w:colFirst="0" w:colLast="0"/>
      <w:bookmarkEnd w:id="0"/>
      <w:r>
        <w:rPr>
          <w:b/>
          <w:bCs/>
          <w:color w:val="1B1B1B"/>
          <w:sz w:val="90"/>
          <w:szCs w:val="90"/>
        </w:rPr>
        <w:t>Pension blind spot: more than a third do not ask about employer scheme</w:t>
      </w:r>
    </w:p>
    <w:p w14:paraId="406E61EA" w14:textId="77777777" w:rsidR="00753B78" w:rsidRDefault="00000000">
      <w:pPr>
        <w:spacing w:before="280" w:after="280"/>
        <w:rPr>
          <w:color w:val="1B1B1B"/>
          <w:sz w:val="27"/>
          <w:szCs w:val="27"/>
        </w:rPr>
      </w:pPr>
      <w:r>
        <w:rPr>
          <w:color w:val="1B1B1B"/>
          <w:sz w:val="27"/>
          <w:szCs w:val="27"/>
        </w:rPr>
        <w:t>There is a surprising reluctance among jobseekers to discuss pensions during the recruitment process, despite workplace schemes ranking among the most valued employee benefits, according to research by M&amp;G.</w:t>
      </w:r>
    </w:p>
    <w:p w14:paraId="65AF37A8" w14:textId="77777777" w:rsidR="00753B78" w:rsidRDefault="00753B78">
      <w:pPr>
        <w:spacing w:before="280" w:after="280"/>
        <w:rPr>
          <w:color w:val="1B1B1B"/>
          <w:sz w:val="27"/>
          <w:szCs w:val="27"/>
        </w:rPr>
      </w:pPr>
    </w:p>
    <w:p w14:paraId="0DF70638" w14:textId="61A311FD" w:rsidR="00753B78" w:rsidRDefault="00000000">
      <w:pPr>
        <w:spacing w:before="280" w:after="280"/>
        <w:rPr>
          <w:color w:val="1B1B1B"/>
          <w:sz w:val="27"/>
          <w:szCs w:val="27"/>
        </w:rPr>
      </w:pPr>
      <w:r>
        <w:rPr>
          <w:color w:val="1B1B1B"/>
          <w:sz w:val="27"/>
          <w:szCs w:val="27"/>
        </w:rPr>
        <w:t xml:space="preserve">According to the </w:t>
      </w:r>
      <w:r w:rsidR="00067FC0">
        <w:rPr>
          <w:color w:val="1B1B1B"/>
          <w:sz w:val="27"/>
          <w:szCs w:val="27"/>
        </w:rPr>
        <w:t xml:space="preserve">M&amp;G </w:t>
      </w:r>
      <w:r>
        <w:rPr>
          <w:color w:val="1B1B1B"/>
          <w:sz w:val="27"/>
          <w:szCs w:val="27"/>
        </w:rPr>
        <w:t>study, more than a third (36 per cent) of people who changed jobs within the past five years did not ask about the organisation’s pension scheme at any stage of the hiring process.</w:t>
      </w:r>
    </w:p>
    <w:p w14:paraId="58B6522E" w14:textId="77777777" w:rsidR="00753B78" w:rsidRDefault="00000000">
      <w:pPr>
        <w:spacing w:before="280" w:after="280"/>
        <w:rPr>
          <w:color w:val="1B1B1B"/>
          <w:sz w:val="27"/>
          <w:szCs w:val="27"/>
        </w:rPr>
      </w:pPr>
      <w:r>
        <w:rPr>
          <w:color w:val="1B1B1B"/>
          <w:sz w:val="27"/>
          <w:szCs w:val="27"/>
        </w:rPr>
        <w:t xml:space="preserve">Only 6 per cent raised the topic early on and only 12 per cent did so at final interview. </w:t>
      </w:r>
    </w:p>
    <w:p w14:paraId="657BA59F" w14:textId="77777777" w:rsidR="00753B78" w:rsidRDefault="00000000">
      <w:pPr>
        <w:spacing w:before="280" w:after="280"/>
        <w:rPr>
          <w:color w:val="1B1B1B"/>
          <w:sz w:val="27"/>
          <w:szCs w:val="27"/>
        </w:rPr>
      </w:pPr>
      <w:r>
        <w:rPr>
          <w:color w:val="1B1B1B"/>
          <w:sz w:val="27"/>
          <w:szCs w:val="27"/>
        </w:rPr>
        <w:t>More than a fifth (21 per cent) waited until receiving a job offer and 16 per cent asked after accepting the role.</w:t>
      </w:r>
    </w:p>
    <w:p w14:paraId="538DA8B7" w14:textId="77777777" w:rsidR="00753B78" w:rsidRDefault="00000000">
      <w:pPr>
        <w:spacing w:before="280" w:after="280"/>
        <w:rPr>
          <w:color w:val="1B1B1B"/>
          <w:sz w:val="27"/>
          <w:szCs w:val="27"/>
        </w:rPr>
      </w:pPr>
      <w:r>
        <w:rPr>
          <w:color w:val="1B1B1B"/>
          <w:sz w:val="27"/>
          <w:szCs w:val="27"/>
        </w:rPr>
        <w:t>Yet pensions remain one of the strongest drivers of career decisions.</w:t>
      </w:r>
    </w:p>
    <w:p w14:paraId="7C8E5A28" w14:textId="77777777" w:rsidR="00753B78" w:rsidRDefault="00000000">
      <w:pPr>
        <w:spacing w:before="280" w:after="280"/>
        <w:rPr>
          <w:color w:val="1B1B1B"/>
          <w:sz w:val="27"/>
          <w:szCs w:val="27"/>
        </w:rPr>
      </w:pPr>
      <w:r>
        <w:rPr>
          <w:color w:val="1B1B1B"/>
          <w:sz w:val="27"/>
          <w:szCs w:val="27"/>
        </w:rPr>
        <w:t>Nearly a quarter (22 per cent) of people said the workplace pension was the benefit that most influenced whether they accepted a role, placing it third after salary (48 per cent) and flexible working (25 per cent).</w:t>
      </w:r>
    </w:p>
    <w:p w14:paraId="7C259D06" w14:textId="77777777" w:rsidR="00753B78" w:rsidRDefault="00000000">
      <w:pPr>
        <w:spacing w:before="280" w:after="280"/>
        <w:rPr>
          <w:color w:val="1B1B1B"/>
          <w:sz w:val="27"/>
          <w:szCs w:val="27"/>
        </w:rPr>
      </w:pPr>
      <w:r>
        <w:rPr>
          <w:color w:val="1B1B1B"/>
          <w:sz w:val="27"/>
          <w:szCs w:val="27"/>
        </w:rPr>
        <w:t>M&amp;G said this suggests there is a gap between what people value and what they feel able to ask about when applying for a new role.</w:t>
      </w:r>
    </w:p>
    <w:p w14:paraId="4A05EFFB" w14:textId="6E4987C1" w:rsidR="00753B78" w:rsidRDefault="00000000">
      <w:pPr>
        <w:spacing w:before="280" w:after="280"/>
        <w:rPr>
          <w:color w:val="1B1B1B"/>
          <w:sz w:val="27"/>
          <w:szCs w:val="27"/>
        </w:rPr>
      </w:pPr>
      <w:r>
        <w:rPr>
          <w:color w:val="1B1B1B"/>
          <w:sz w:val="27"/>
          <w:szCs w:val="27"/>
        </w:rPr>
        <w:lastRenderedPageBreak/>
        <w:t xml:space="preserve">The </w:t>
      </w:r>
      <w:r w:rsidR="00067FC0">
        <w:rPr>
          <w:color w:val="1B1B1B"/>
          <w:sz w:val="27"/>
          <w:szCs w:val="27"/>
        </w:rPr>
        <w:t xml:space="preserve">M&amp;G </w:t>
      </w:r>
      <w:r>
        <w:rPr>
          <w:color w:val="1B1B1B"/>
          <w:sz w:val="27"/>
          <w:szCs w:val="27"/>
        </w:rPr>
        <w:t xml:space="preserve">data also revealed some gender differences in the benefits people prioritise when changing jobs. </w:t>
      </w:r>
    </w:p>
    <w:p w14:paraId="60D45350" w14:textId="77777777" w:rsidR="00753B78" w:rsidRDefault="00000000">
      <w:pPr>
        <w:spacing w:before="280" w:after="280"/>
        <w:rPr>
          <w:color w:val="1B1B1B"/>
          <w:sz w:val="27"/>
          <w:szCs w:val="27"/>
        </w:rPr>
      </w:pPr>
      <w:r>
        <w:rPr>
          <w:color w:val="1B1B1B"/>
          <w:sz w:val="27"/>
          <w:szCs w:val="27"/>
        </w:rPr>
        <w:t>While salary remains the top driver for both men and women, the research suggested women are more likely to value flexible working (27 per cent) and generous holiday allowances (24 per cent).</w:t>
      </w:r>
    </w:p>
    <w:p w14:paraId="4C8D09D1" w14:textId="77777777" w:rsidR="00753B78" w:rsidRDefault="00000000">
      <w:pPr>
        <w:spacing w:before="280" w:after="280"/>
        <w:rPr>
          <w:color w:val="1B1B1B"/>
          <w:sz w:val="27"/>
          <w:szCs w:val="27"/>
        </w:rPr>
      </w:pPr>
      <w:r>
        <w:rPr>
          <w:color w:val="1B1B1B"/>
          <w:sz w:val="27"/>
          <w:szCs w:val="27"/>
        </w:rPr>
        <w:t xml:space="preserve">While men place greater emphasis on long-term financial incentives, </w:t>
      </w:r>
    </w:p>
    <w:p w14:paraId="4B936689" w14:textId="77777777" w:rsidR="00753B78" w:rsidRDefault="00000000">
      <w:pPr>
        <w:spacing w:before="280" w:after="280"/>
        <w:rPr>
          <w:color w:val="1B1B1B"/>
          <w:sz w:val="27"/>
          <w:szCs w:val="27"/>
        </w:rPr>
      </w:pPr>
      <w:r>
        <w:rPr>
          <w:color w:val="1B1B1B"/>
          <w:sz w:val="27"/>
          <w:szCs w:val="27"/>
        </w:rPr>
        <w:t xml:space="preserve">Recent research by </w:t>
      </w:r>
      <w:hyperlink r:id="rId4">
        <w:r>
          <w:rPr>
            <w:color w:val="416ED2"/>
            <w:sz w:val="27"/>
            <w:szCs w:val="27"/>
          </w:rPr>
          <w:t>M&amp;G</w:t>
        </w:r>
      </w:hyperlink>
      <w:r>
        <w:rPr>
          <w:color w:val="1B1B1B"/>
          <w:sz w:val="27"/>
          <w:szCs w:val="27"/>
        </w:rPr>
        <w:t xml:space="preserve"> and the Social Market Foundation revealed many workers remain disengaged from their pension even after starting a role.</w:t>
      </w:r>
    </w:p>
    <w:p w14:paraId="70D162DE" w14:textId="77777777" w:rsidR="00753B78" w:rsidRDefault="00000000">
      <w:pPr>
        <w:spacing w:before="280" w:after="280"/>
        <w:rPr>
          <w:color w:val="1B1B1B"/>
          <w:sz w:val="27"/>
          <w:szCs w:val="27"/>
        </w:rPr>
      </w:pPr>
      <w:r>
        <w:rPr>
          <w:color w:val="1B1B1B"/>
          <w:sz w:val="27"/>
          <w:szCs w:val="27"/>
        </w:rPr>
        <w:t>Some 40 per cent of full‑time workers do not know their employer’s contribution, 43 per cent have never changed their own contributions, and 25 per cent have lost track of past pension pots.</w:t>
      </w:r>
    </w:p>
    <w:p w14:paraId="2BCADB55" w14:textId="77777777" w:rsidR="00753B78" w:rsidRDefault="00000000">
      <w:pPr>
        <w:spacing w:before="280" w:after="280"/>
        <w:rPr>
          <w:color w:val="1B1B1B"/>
          <w:sz w:val="27"/>
          <w:szCs w:val="27"/>
        </w:rPr>
      </w:pPr>
      <w:r>
        <w:rPr>
          <w:color w:val="1B1B1B"/>
          <w:sz w:val="27"/>
          <w:szCs w:val="27"/>
        </w:rPr>
        <w:t xml:space="preserve">M&amp;G is calling for a national pension health check that would encourage savers to regularly review their pension circumstances as part of Pension Dashboards whenever they change jobs. </w:t>
      </w:r>
    </w:p>
    <w:p w14:paraId="204D08F3" w14:textId="77777777" w:rsidR="00753B78" w:rsidRDefault="00000000">
      <w:pPr>
        <w:spacing w:before="280" w:after="280"/>
        <w:rPr>
          <w:color w:val="1B1B1B"/>
          <w:sz w:val="27"/>
          <w:szCs w:val="27"/>
        </w:rPr>
      </w:pPr>
      <w:r>
        <w:rPr>
          <w:color w:val="1B1B1B"/>
          <w:sz w:val="27"/>
          <w:szCs w:val="27"/>
        </w:rPr>
        <w:t xml:space="preserve">Kerrigan Procter, managing director, corporate pension solutions at M&amp;G, said: “When applying for a job, checking the </w:t>
      </w:r>
      <w:hyperlink r:id="rId5">
        <w:r>
          <w:rPr>
            <w:color w:val="416ED2"/>
            <w:sz w:val="27"/>
            <w:szCs w:val="27"/>
          </w:rPr>
          <w:t>pension</w:t>
        </w:r>
      </w:hyperlink>
      <w:r>
        <w:rPr>
          <w:color w:val="1B1B1B"/>
          <w:sz w:val="27"/>
          <w:szCs w:val="27"/>
        </w:rPr>
        <w:t xml:space="preserve"> scheme on offer is essential. Too many people are missing out because they don’t ask, or the information isn’t readily available. </w:t>
      </w:r>
    </w:p>
    <w:p w14:paraId="465D072D" w14:textId="77777777" w:rsidR="00753B78" w:rsidRDefault="00000000">
      <w:pPr>
        <w:spacing w:before="280" w:after="280"/>
        <w:rPr>
          <w:color w:val="1B1B1B"/>
          <w:sz w:val="27"/>
          <w:szCs w:val="27"/>
        </w:rPr>
      </w:pPr>
      <w:r>
        <w:rPr>
          <w:color w:val="1B1B1B"/>
          <w:sz w:val="27"/>
          <w:szCs w:val="27"/>
        </w:rPr>
        <w:t xml:space="preserve">“That’s why we make our pension details clear and upfront in every job advert, and why we’d like to see all employers do the same. </w:t>
      </w:r>
    </w:p>
    <w:p w14:paraId="79E92C53" w14:textId="77777777" w:rsidR="00753B78" w:rsidRDefault="00000000">
      <w:pPr>
        <w:spacing w:before="280" w:after="280"/>
        <w:rPr>
          <w:color w:val="1B1B1B"/>
          <w:sz w:val="27"/>
          <w:szCs w:val="27"/>
        </w:rPr>
      </w:pPr>
      <w:r>
        <w:rPr>
          <w:color w:val="1B1B1B"/>
          <w:sz w:val="27"/>
          <w:szCs w:val="27"/>
        </w:rPr>
        <w:t>“When combined with a simple pension health check at each job move, that transparency could make a huge difference to people’s financial security. Pensions need to be impossible to overlook.”</w:t>
      </w:r>
    </w:p>
    <w:p w14:paraId="01566A56" w14:textId="77777777" w:rsidR="00753B78" w:rsidRDefault="00753B78"/>
    <w:p w14:paraId="6B3A1438" w14:textId="77777777" w:rsidR="00753B78" w:rsidRDefault="00753B78"/>
    <w:p w14:paraId="2E26A447" w14:textId="77777777" w:rsidR="00753B78" w:rsidRDefault="00753B78"/>
    <w:sectPr w:rsidR="00753B7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202A2D6E-CB90-AA4A-8E21-2D781C06CE26}"/>
    <w:embedBold r:id="rId2" w:fontKey="{94E7772B-685E-964F-A56B-6115EEAEF29F}"/>
    <w:embedItalic r:id="rId3" w:fontKey="{82D5B140-493A-0948-838B-6AE9DDB82B7D}"/>
  </w:font>
  <w:font w:name="Times New Roman">
    <w:panose1 w:val="02020603050405020304"/>
    <w:charset w:val="00"/>
    <w:family w:val="roman"/>
    <w:pitch w:val="variable"/>
    <w:sig w:usb0="E0002EFF" w:usb1="C000785B" w:usb2="00000009" w:usb3="00000000" w:csb0="000001FF" w:csb1="00000000"/>
    <w:embedRegular r:id="rId4" w:fontKey="{42F24196-BB9A-124C-B7C0-A654B6CE7292}"/>
  </w:font>
  <w:font w:name="Calibri">
    <w:panose1 w:val="020F0502020204030204"/>
    <w:charset w:val="00"/>
    <w:family w:val="swiss"/>
    <w:pitch w:val="variable"/>
    <w:sig w:usb0="E4002EFF" w:usb1="C200247B" w:usb2="00000009" w:usb3="00000000" w:csb0="000001FF" w:csb1="00000000"/>
    <w:embedRegular r:id="rId5" w:fontKey="{F90C226F-CAAD-0348-A328-39CFF2563292}"/>
  </w:font>
  <w:font w:name="Cambria">
    <w:panose1 w:val="02040503050406030204"/>
    <w:charset w:val="00"/>
    <w:family w:val="roman"/>
    <w:pitch w:val="variable"/>
    <w:sig w:usb0="E00006FF" w:usb1="420024FF" w:usb2="02000000" w:usb3="00000000" w:csb0="0000019F" w:csb1="00000000"/>
    <w:embedRegular r:id="rId6" w:fontKey="{E0A1FC5E-3428-D24A-9901-8815E60F0DC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B78"/>
    <w:rsid w:val="00067FC0"/>
    <w:rsid w:val="00753B78"/>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4C8830"/>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tadviser.com/pensions/" TargetMode="External"/><Relationship Id="rId4" Type="http://schemas.openxmlformats.org/officeDocument/2006/relationships/hyperlink" Target="https://www.ftadviser.com/mg-plc/"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2026-05-11T12:17:00Z</dcterms:created>
  <dcterms:modified xsi:type="dcterms:W3CDTF">2026-05-11T12:17:00Z</dcterms:modified>
</cp:coreProperties>
</file>