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27"/>
          <w:szCs w:val="27"/>
        </w:rPr>
      </w:pPr>
      <w:bookmarkStart w:colFirst="0" w:colLast="0" w:name="_byz82h3p40dy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M&amp;G invests €35m in European rail lessor Akiem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has invested €35m in Akiem as part of a wider €125m financing secured by the European locomotive and passenger trains lessor and maintenance firm.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said it is making the investment primarily via its life’s long-term annuity capital, alongside third-party client capital.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overall €125m, 20-year, senior-secured, green private placement is to support the modernisation and expansion of Akiem’s rail fleet.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Founded in 2008, Akiem operates in 22 countries, serves more than 110 clients and is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majority owned by La Caisse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Jérôme Dardaine, associate director in M&amp;G’s project and infrastructure finance team, said: “This investment supports Akiem’s long‑term growth plans and its ambition to expand modern rail fleets across Europe. Rail plays a key role in reducing transport emissions, and Akiem’s focus on electric and well‑maintained rolling stock directly supports that transition.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“This is exactly the type of essential, sustainable infrastructure that we aim to finance on behalf of our clients.”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Chris Nishan, head of infrastructure debt at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M&amp;G Investments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, said: “This transaction reflects M&amp;G’s long‑standing approach of providing patient, long‑term capital to high‑quality infrastructure businesses.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“Akiem benefits from stable revenues, strong ownership and a clear environmental purpose, making it well suited to long‑dated financing that supports both growth and wider societal outcomes.”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alassets.ipe.com/news/cdpq-in-talks-to-buy-freight-locomotive-lessor-akiem-from-sncf-dws/10061381.article" TargetMode="External"/><Relationship Id="rId7" Type="http://schemas.openxmlformats.org/officeDocument/2006/relationships/hyperlink" Target="https://hub.ipe.com/asset-manager/mandg-investments-real-estate/415584.suppli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