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jg1znqcr3kld" w:id="0"/>
      <w:bookmarkEnd w:id="0"/>
      <w:r w:rsidDel="00000000" w:rsidR="00000000" w:rsidRPr="00000000">
        <w:rPr>
          <w:b w:val="1"/>
          <w:bCs w:val="1"/>
          <w:color w:val="1b1b1b"/>
          <w:sz w:val="90"/>
          <w:szCs w:val="90"/>
          <w:rtl w:val="0"/>
        </w:rPr>
        <w:t xml:space="preserve">‘Sludge tactics’ that help pensions old guard must be flushed out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479n96ta3hn6" w:id="1"/>
      <w:bookmarkEnd w:id="1"/>
      <w:r w:rsidDel="00000000" w:rsidR="00000000" w:rsidRPr="00000000">
        <w:rPr>
          <w:sz w:val="50"/>
          <w:szCs w:val="50"/>
          <w:rtl w:val="0"/>
        </w:rPr>
        <w:t xml:space="preserve">Mature providers have been accused of deliberately delaying transfers to disruptor firms in an £800 billion industry crying out for change</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Things seem to be getting worse. PensionBee, the listed pension consolidator and one of the nine calling for reform, will shortly publish a new table of, in its view, the worst offenders, scored by average transfer times. It takes in 40,000 pots a year so has a good view of what is happening on the ground.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This is not a universal problem. Big names like Aviva, Standard Life and Royal London all score well for speediness in PensionBee’s new league tables, suggesting that it is perfectly possible to turn transfers around in less than ten days. It is the specialist administrators, which provide an outsourced service to workplace defined contribution schemes and are usually unregulated, that score worst.</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