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368D" w:rsidRDefault="00000000">
      <w:pPr>
        <w:pStyle w:val="Heading1"/>
        <w:keepNext w:val="0"/>
        <w:keepLines w:val="0"/>
        <w:spacing w:before="0" w:after="460" w:line="291" w:lineRule="auto"/>
        <w:rPr>
          <w:sz w:val="17"/>
          <w:szCs w:val="17"/>
        </w:rPr>
      </w:pPr>
      <w:bookmarkStart w:id="0" w:name="_6sjjb4cxeeob" w:colFirst="0" w:colLast="0"/>
      <w:bookmarkEnd w:id="0"/>
      <w:r>
        <w:rPr>
          <w:b/>
          <w:bCs/>
          <w:color w:val="1B1B1B"/>
          <w:sz w:val="90"/>
          <w:szCs w:val="90"/>
        </w:rPr>
        <w:t>Redundancies not ruled out in Standard Life takeover of Aegon UK</w:t>
      </w:r>
    </w:p>
    <w:p w14:paraId="00000002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Standard Life has not ruled out making job cuts following its takeover of Aegon’s UK business.</w:t>
      </w:r>
    </w:p>
    <w:p w14:paraId="00000003" w14:textId="0D34F6C0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£2bn </w:t>
      </w:r>
      <w:r w:rsidR="007A6A46">
        <w:rPr>
          <w:color w:val="1B1B1B"/>
          <w:sz w:val="27"/>
          <w:szCs w:val="27"/>
        </w:rPr>
        <w:t xml:space="preserve">Standard Life </w:t>
      </w:r>
      <w:r>
        <w:rPr>
          <w:color w:val="1B1B1B"/>
          <w:sz w:val="27"/>
          <w:szCs w:val="27"/>
        </w:rPr>
        <w:t xml:space="preserve">deal, </w:t>
      </w:r>
      <w:hyperlink r:id="rId4">
        <w:r>
          <w:rPr>
            <w:color w:val="416ED2"/>
            <w:sz w:val="27"/>
            <w:szCs w:val="27"/>
          </w:rPr>
          <w:t>announced today</w:t>
        </w:r>
      </w:hyperlink>
      <w:r>
        <w:rPr>
          <w:color w:val="1B1B1B"/>
          <w:sz w:val="27"/>
          <w:szCs w:val="27"/>
        </w:rPr>
        <w:t xml:space="preserve"> (April 15), will create the nation’s second largest retail pensions and savings platform by assets.</w:t>
      </w:r>
    </w:p>
    <w:p w14:paraId="00000004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Standard Life told FT Adviser there is expected to be overlaps in parts of the business as they are combined. </w:t>
      </w:r>
    </w:p>
    <w:p w14:paraId="00000005" w14:textId="00F97621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</w:t>
      </w:r>
      <w:r w:rsidR="007A6A46">
        <w:rPr>
          <w:color w:val="1B1B1B"/>
          <w:sz w:val="27"/>
          <w:szCs w:val="27"/>
        </w:rPr>
        <w:t xml:space="preserve">Standard Life </w:t>
      </w:r>
      <w:r>
        <w:rPr>
          <w:color w:val="1B1B1B"/>
          <w:sz w:val="27"/>
          <w:szCs w:val="27"/>
        </w:rPr>
        <w:t>spokesperson said: “This acquisition is about growth and there is no fixed headcount target associated with the acquisition at this stage.</w:t>
      </w:r>
    </w:p>
    <w:p w14:paraId="00000006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“Clearly there will be some overlap in terms of corporate and support functions but our priority as we integrate the businesses is to retain service and regulatory outcomes.</w:t>
      </w:r>
    </w:p>
    <w:p w14:paraId="00000007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“Any organisational changes would be managed carefully and communicated clearly. </w:t>
      </w:r>
    </w:p>
    <w:p w14:paraId="00000008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“We recognise that change can raise questions, but for the foreseeable future it is very much business as usual for both organisations, with existing relationships, services and support continuing unchanged.”</w:t>
      </w:r>
    </w:p>
    <w:p w14:paraId="00000009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And when it comes to whether Aegon UK will maintain its name, Standard Life said decisions are yet to be confirmed. </w:t>
      </w:r>
    </w:p>
    <w:p w14:paraId="0000000A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“Standard Life’s brand strategy is unchanged and any brand decisions relating to Aegon UK will be confirmed post-completion,” added the spokesperson.</w:t>
      </w:r>
    </w:p>
    <w:p w14:paraId="0000000B" w14:textId="1E58DC31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</w:t>
      </w:r>
      <w:r w:rsidR="007A6A46">
        <w:rPr>
          <w:color w:val="1B1B1B"/>
          <w:sz w:val="27"/>
          <w:szCs w:val="27"/>
        </w:rPr>
        <w:t xml:space="preserve">Standard Life </w:t>
      </w:r>
      <w:r>
        <w:rPr>
          <w:color w:val="1B1B1B"/>
          <w:sz w:val="27"/>
          <w:szCs w:val="27"/>
        </w:rPr>
        <w:t>£2bn deal adds £160bn of assets under administration creating an enlarged group with approximately £480bn of AUA.</w:t>
      </w:r>
    </w:p>
    <w:p w14:paraId="0000000C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While the addition of 3.8mn customers brings Standard Life’s total to 16mn customers.</w:t>
      </w:r>
    </w:p>
    <w:p w14:paraId="0000000D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Lard Friese, Aegon CEO, said: “The businesses are complementary and the combination offers an excellent outcome for Aegon UK’s customers and colleagues.</w:t>
      </w:r>
    </w:p>
    <w:p w14:paraId="0000000E" w14:textId="77777777" w:rsidR="00A6368D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“Aegon’s shareholding will provide an opportunity to participate in the future success of the enlarged group.”</w:t>
      </w:r>
    </w:p>
    <w:p w14:paraId="0000000F" w14:textId="77777777" w:rsidR="00A6368D" w:rsidRDefault="00A6368D"/>
    <w:sectPr w:rsidR="00A636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9DB2C2F-503F-F948-9ABA-A9D2C9EAE6FD}"/>
    <w:embedBold r:id="rId2" w:fontKey="{EC317AAB-6B10-FC40-833A-8EEEAEC606CE}"/>
    <w:embedItalic r:id="rId3" w:fontKey="{08A88B29-8BF7-6B45-9BA8-AC016A3B5A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751D5DD-A7AB-B44E-93DA-E38FA871EF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51B588-8776-3741-9AF7-181AAB11BC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44F701-EB3A-6046-902D-CEBBB43255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68D"/>
    <w:rsid w:val="007A6A46"/>
    <w:rsid w:val="00A6368D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tadviser.com/content/2d188088-1be1-43b8-8166-8db2f898ab1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2026-05-11T13:31:00Z</dcterms:created>
  <dcterms:modified xsi:type="dcterms:W3CDTF">2026-05-11T13:32:00Z</dcterms:modified>
</cp:coreProperties>
</file>