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Rule="auto"/>
        <w:ind w:right="340"/>
        <w:rPr>
          <w:rFonts w:ascii="Playfair Display" w:cs="Playfair Display" w:eastAsia="Playfair Display" w:hAnsi="Playfair Display"/>
          <w:b w:val="1"/>
          <w:bCs w:val="1"/>
          <w:color w:val="212121"/>
          <w:sz w:val="46"/>
          <w:szCs w:val="46"/>
        </w:rPr>
      </w:pPr>
      <w:bookmarkStart w:colFirst="0" w:colLast="0" w:name="_fe99wyka7kbe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212121"/>
          <w:sz w:val="46"/>
          <w:szCs w:val="46"/>
          <w:rtl w:val="0"/>
        </w:rPr>
        <w:t xml:space="preserve">Standard Life buys Aegon in £2bn deal to create retirement savings giant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lineRule="auto"/>
        <w:rPr>
          <w:b w:val="1"/>
          <w:bCs w:val="1"/>
          <w:color w:val="444444"/>
          <w:sz w:val="24"/>
          <w:szCs w:val="24"/>
        </w:rPr>
      </w:pPr>
      <w:r w:rsidDel="00000000" w:rsidR="00000000" w:rsidRPr="00000000">
        <w:rPr>
          <w:b w:val="1"/>
          <w:bCs w:val="1"/>
          <w:color w:val="444444"/>
          <w:sz w:val="24"/>
          <w:szCs w:val="24"/>
          <w:rtl w:val="0"/>
        </w:rPr>
        <w:t xml:space="preserve">The combined group will be responsible for approximately £480bn of assets under administration with around 16 million customers, Standard Life announced.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