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w3caa2s24ftf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'I was married to my husband for 49 years but had no say when he was seriously ill'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tyzq14fl515a" w:id="1"/>
      <w:bookmarkEnd w:id="1"/>
      <w:r w:rsidDel="00000000" w:rsidR="00000000" w:rsidRPr="00000000">
        <w:rPr>
          <w:sz w:val="50"/>
          <w:szCs w:val="50"/>
          <w:rtl w:val="0"/>
        </w:rPr>
        <w:t xml:space="preserve">Dorothy gave up work to become a full-time carer to Melvin, who had been diagnosed with ataxia, a degenerative brain and neurological disease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Carers UK and Standard Life have joined forces to launch the first ever UK-wide Power of Attorney Day, with data showing only 8% of adults have an up to date power of attorney in place.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