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460" w:before="0" w:line="291.38399999999996" w:lineRule="auto"/>
        <w:rPr>
          <w:sz w:val="17"/>
          <w:szCs w:val="17"/>
        </w:rPr>
      </w:pPr>
      <w:bookmarkStart w:colFirst="0" w:colLast="0" w:name="_dl4k4iktc93p" w:id="0"/>
      <w:bookmarkEnd w:id="0"/>
      <w:r w:rsidDel="00000000" w:rsidR="00000000" w:rsidRPr="00000000">
        <w:rPr>
          <w:b w:val="1"/>
          <w:bCs w:val="1"/>
          <w:color w:val="1b1b1b"/>
          <w:sz w:val="90"/>
          <w:szCs w:val="90"/>
          <w:rtl w:val="0"/>
        </w:rPr>
        <w:t xml:space="preserve">Barclays fined £42m over poor handling of financial crime risk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Barclays has been fined £42m over “poor handling” of financial crime risks linked to two clients, including a gold bullion business run by James Stunt, the former son-in-law of Formula One tycoon Bernie Ecclestone.</w:t>
      </w:r>
    </w:p>
    <w:p w:rsidR="00000000" w:rsidDel="00000000" w:rsidP="00000000" w:rsidRDefault="00000000" w:rsidRPr="00000000" w14:paraId="00000003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</w:t>
      </w:r>
      <w:hyperlink r:id="rId6">
        <w:r w:rsidDel="00000000" w:rsidR="00000000" w:rsidRPr="00000000">
          <w:rPr>
            <w:color w:val="416ed2"/>
            <w:sz w:val="27"/>
            <w:szCs w:val="27"/>
            <w:rtl w:val="0"/>
          </w:rPr>
          <w:t xml:space="preserve">Financial Conduct Authority</w:t>
        </w:r>
      </w:hyperlink>
      <w:r w:rsidDel="00000000" w:rsidR="00000000" w:rsidRPr="00000000">
        <w:rPr>
          <w:color w:val="1b1b1b"/>
          <w:sz w:val="27"/>
          <w:szCs w:val="27"/>
          <w:rtl w:val="0"/>
        </w:rPr>
        <w:t xml:space="preserve"> (FCA) said the bulk of the penalties, about £39.3m, related to Barclays’ failure to properly screen Stunt’s business – Stunt &amp; Co – and its relationship with Fowler Oldfield, a Bradford jeweller now infamously linked to a large money-laundering operation.</w:t>
      </w:r>
    </w:p>
    <w:p w:rsidR="00000000" w:rsidDel="00000000" w:rsidP="00000000" w:rsidRDefault="00000000" w:rsidRPr="00000000" w14:paraId="00000004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failures spanned 2015 to 2021, and Stunt &amp; Co ultimately received £46.8m from Fowler Oldfield.</w:t>
      </w:r>
    </w:p>
    <w:p w:rsidR="00000000" w:rsidDel="00000000" w:rsidP="00000000" w:rsidRDefault="00000000" w:rsidRPr="00000000" w14:paraId="00000005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Barclays was made aware of the fact that Fowler Oldfield was the subject of a criminal investigation involving potential money laundering in August 2016. But the bank only started to review its exposure to the company five years later, when a court fined NatWest more than £264m over its relationship with the purported jeweller, in a case brought by the FCA.</w:t>
      </w:r>
    </w:p>
    <w:p w:rsidR="00000000" w:rsidDel="00000000" w:rsidP="00000000" w:rsidRDefault="00000000" w:rsidRPr="00000000" w14:paraId="00000006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case gained widespread press attention, given the extraordinary details, including that staff had been </w:t>
      </w:r>
      <w:hyperlink r:id="rId7">
        <w:r w:rsidDel="00000000" w:rsidR="00000000" w:rsidRPr="00000000">
          <w:rPr>
            <w:color w:val="416ed2"/>
            <w:sz w:val="27"/>
            <w:szCs w:val="27"/>
            <w:rtl w:val="0"/>
          </w:rPr>
          <w:t xml:space="preserve">depositing “big black bin liners” full of cash</w:t>
        </w:r>
      </w:hyperlink>
      <w:r w:rsidDel="00000000" w:rsidR="00000000" w:rsidRPr="00000000">
        <w:rPr>
          <w:color w:val="1b1b1b"/>
          <w:sz w:val="27"/>
          <w:szCs w:val="27"/>
          <w:rtl w:val="0"/>
        </w:rPr>
        <w:t xml:space="preserve"> at a NatWest branch that overwhelmed its floor-to-ceiling safes.</w:t>
      </w:r>
    </w:p>
    <w:p w:rsidR="00000000" w:rsidDel="00000000" w:rsidP="00000000" w:rsidRDefault="00000000" w:rsidRPr="00000000" w14:paraId="00000007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FCA said on Wednesday that Barclays “did not gather enough information at the start of the relationship or carry out proper ongoing monitoring”.</w:t>
      </w:r>
    </w:p>
    <w:p w:rsidR="00000000" w:rsidDel="00000000" w:rsidP="00000000" w:rsidRDefault="00000000" w:rsidRPr="00000000" w14:paraId="00000008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In March, two directors for Fowler Oldfield were convicted of money laundering and sentenced to more than a decade in prison each. Stunt was cleared at Leeds crown court of any money-laundering charges in relations to funds received from the purported jeweller.</w:t>
      </w:r>
    </w:p>
    <w:p w:rsidR="00000000" w:rsidDel="00000000" w:rsidP="00000000" w:rsidRDefault="00000000" w:rsidRPr="00000000" w14:paraId="00000009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Barclays was also fined £3.1m on Wednesday for failing to check it had enough information to understand the money-laundering risk before opening a client money account for the now-collapsed wealth management firm WealthTek.</w:t>
      </w:r>
    </w:p>
    <w:p w:rsidR="00000000" w:rsidDel="00000000" w:rsidP="00000000" w:rsidRDefault="00000000" w:rsidRPr="00000000" w14:paraId="0000000A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FCA in December charged WealthTek’s former head partner John Dance with fraud and laundering more than £64m from the firm’s client accounts. Dance is due to face a criminal trial at Southwark crown court in September 2027.</w:t>
      </w:r>
    </w:p>
    <w:p w:rsidR="00000000" w:rsidDel="00000000" w:rsidP="00000000" w:rsidRDefault="00000000" w:rsidRPr="00000000" w14:paraId="0000000B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Commenting on the fines, the FCA’s joint executive director of enforcement and market oversight, Therese Chambers, said: “The consequences of poor financial crime controls are very real – they allow criminals to launder the proceeds of their crimes, and they allow fraudsters to defraud consumers.</w:t>
      </w:r>
    </w:p>
    <w:p w:rsidR="00000000" w:rsidDel="00000000" w:rsidP="00000000" w:rsidRDefault="00000000" w:rsidRPr="00000000" w14:paraId="0000000C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“Banks need to take responsibility and act promptly, particularly when obvious risks are brought to their attention. In the first of these cases, Barclays secured a significant reduction in its fine through its extensive cooperation with our investigation and through making a voluntary payment to affected consumers at our request.”</w:t>
      </w:r>
    </w:p>
    <w:p w:rsidR="00000000" w:rsidDel="00000000" w:rsidP="00000000" w:rsidRDefault="00000000" w:rsidRPr="00000000" w14:paraId="0000000D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Barclays said the bank remained “deeply committed to the fight against financial crime and fraud”.</w:t>
      </w:r>
    </w:p>
    <w:p w:rsidR="00000000" w:rsidDel="00000000" w:rsidP="00000000" w:rsidRDefault="00000000" w:rsidRPr="00000000" w14:paraId="0000000E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It added: “The FCA’s investigation relating to Stunt &amp; Co was centred around historical money-laundering activity and made no findings that the bank had breached money-laundering regulations.</w:t>
      </w:r>
    </w:p>
    <w:p w:rsidR="00000000" w:rsidDel="00000000" w:rsidP="00000000" w:rsidRDefault="00000000" w:rsidRPr="00000000" w14:paraId="0000000F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“As acknowledged by the FCA, Barclays undertook an extensive review and self-reported its findings to the FCA. Barclays fully cooperated with both investigations and has further strengthened its financial crime and other control capabilities.”</w:t>
      </w:r>
    </w:p>
    <w:p w:rsidR="00000000" w:rsidDel="00000000" w:rsidP="00000000" w:rsidRDefault="00000000" w:rsidRPr="00000000" w14:paraId="00000010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This article was amended on 17 July 2025. It was a court that fined NatWest more than £264m, not the FCA; however, the case was prosecuted by the FCA.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theguardian.com/business/financial-conduct-authority" TargetMode="External"/><Relationship Id="rId7" Type="http://schemas.openxmlformats.org/officeDocument/2006/relationships/hyperlink" Target="https://www.theguardian.com/business/2021/dec/13/natwest-fined-264m-after-admitting-breaching-anti-money-laundering-rul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