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3131D" w:rsidRDefault="00000000">
      <w:pPr>
        <w:pStyle w:val="Heading1"/>
        <w:keepNext w:val="0"/>
        <w:keepLines w:val="0"/>
        <w:spacing w:before="0" w:after="460" w:line="291" w:lineRule="auto"/>
        <w:rPr>
          <w:b/>
          <w:bCs/>
          <w:color w:val="1B1B1B"/>
          <w:sz w:val="90"/>
          <w:szCs w:val="90"/>
        </w:rPr>
      </w:pPr>
      <w:bookmarkStart w:id="0" w:name="_nqvut55hbexe" w:colFirst="0" w:colLast="0"/>
      <w:bookmarkEnd w:id="0"/>
      <w:r>
        <w:rPr>
          <w:b/>
          <w:bCs/>
          <w:color w:val="1B1B1B"/>
          <w:sz w:val="90"/>
          <w:szCs w:val="90"/>
        </w:rPr>
        <w:t>Banks shut one in three branches across UK</w:t>
      </w:r>
    </w:p>
    <w:p w14:paraId="00000002" w14:textId="77777777" w:rsidR="00D3131D" w:rsidRDefault="00000000">
      <w:pPr>
        <w:rPr>
          <w:color w:val="1B1B1B"/>
          <w:sz w:val="27"/>
          <w:szCs w:val="27"/>
        </w:rPr>
      </w:pPr>
      <w:r>
        <w:rPr>
          <w:color w:val="1B1B1B"/>
          <w:sz w:val="27"/>
          <w:szCs w:val="27"/>
        </w:rPr>
        <w:t>​</w:t>
      </w:r>
    </w:p>
    <w:p w14:paraId="00000004" w14:textId="77777777" w:rsidR="00D3131D" w:rsidRDefault="00000000">
      <w:pPr>
        <w:rPr>
          <w:color w:val="1B1B1B"/>
          <w:sz w:val="27"/>
          <w:szCs w:val="27"/>
        </w:rPr>
      </w:pPr>
      <w:r>
        <w:rPr>
          <w:color w:val="1B1B1B"/>
          <w:sz w:val="27"/>
          <w:szCs w:val="27"/>
        </w:rPr>
        <w:t>​</w:t>
      </w:r>
    </w:p>
    <w:p w14:paraId="00000005" w14:textId="77777777" w:rsidR="00D3131D" w:rsidRDefault="00000000">
      <w:pPr>
        <w:pStyle w:val="Heading2"/>
        <w:keepNext w:val="0"/>
        <w:keepLines w:val="0"/>
        <w:spacing w:before="0" w:after="80" w:line="305" w:lineRule="auto"/>
        <w:rPr>
          <w:sz w:val="50"/>
          <w:szCs w:val="50"/>
        </w:rPr>
      </w:pPr>
      <w:bookmarkStart w:id="1" w:name="_uegzp5lhbtl8" w:colFirst="0" w:colLast="0"/>
      <w:bookmarkEnd w:id="1"/>
      <w:r>
        <w:rPr>
          <w:sz w:val="50"/>
          <w:szCs w:val="50"/>
        </w:rPr>
        <w:t>Only Spain and the Netherlands have higher closure rates in Europe</w:t>
      </w:r>
    </w:p>
    <w:p w14:paraId="00000006" w14:textId="77777777" w:rsidR="00D3131D" w:rsidRDefault="00D3131D">
      <w:pPr>
        <w:spacing w:after="320"/>
        <w:rPr>
          <w:color w:val="1B1B1B"/>
          <w:sz w:val="27"/>
          <w:szCs w:val="27"/>
        </w:rPr>
      </w:pPr>
    </w:p>
    <w:p w14:paraId="00000008" w14:textId="77777777" w:rsidR="00D3131D" w:rsidRDefault="00000000">
      <w:pPr>
        <w:spacing w:before="280" w:after="280"/>
        <w:rPr>
          <w:color w:val="1B1B1B"/>
          <w:sz w:val="27"/>
          <w:szCs w:val="27"/>
        </w:rPr>
      </w:pPr>
      <w:r>
        <w:rPr>
          <w:color w:val="1B1B1B"/>
          <w:sz w:val="27"/>
          <w:szCs w:val="27"/>
        </w:rPr>
        <w:t>Banks have shut one in three branches across Britain over the last five years, with only Spain and the Netherlands outpacing the UK for closures in Europe.</w:t>
      </w:r>
    </w:p>
    <w:p w14:paraId="00000009" w14:textId="77777777" w:rsidR="00D3131D" w:rsidRDefault="00000000">
      <w:pPr>
        <w:spacing w:before="280" w:after="280"/>
        <w:rPr>
          <w:color w:val="1B1B1B"/>
          <w:sz w:val="27"/>
          <w:szCs w:val="27"/>
        </w:rPr>
      </w:pPr>
      <w:r>
        <w:rPr>
          <w:color w:val="1B1B1B"/>
          <w:sz w:val="27"/>
          <w:szCs w:val="27"/>
        </w:rPr>
        <w:t xml:space="preserve">Figures from the Office for National Statistics show there were just 6,870 </w:t>
      </w:r>
      <w:proofErr w:type="gramStart"/>
      <w:r>
        <w:rPr>
          <w:color w:val="1B1B1B"/>
          <w:sz w:val="27"/>
          <w:szCs w:val="27"/>
        </w:rPr>
        <w:t>bank</w:t>
      </w:r>
      <w:proofErr w:type="gramEnd"/>
      <w:r>
        <w:rPr>
          <w:color w:val="1B1B1B"/>
          <w:sz w:val="27"/>
          <w:szCs w:val="27"/>
        </w:rPr>
        <w:t>, building society and credit union branches still open in Britain last year – 34 pc lower than the 10,410 branches in 2019.</w:t>
      </w:r>
    </w:p>
    <w:p w14:paraId="0000000A" w14:textId="77777777" w:rsidR="00D3131D" w:rsidRDefault="00000000">
      <w:pPr>
        <w:spacing w:before="280" w:after="280"/>
        <w:rPr>
          <w:color w:val="1B1B1B"/>
          <w:sz w:val="27"/>
          <w:szCs w:val="27"/>
        </w:rPr>
      </w:pPr>
      <w:r>
        <w:rPr>
          <w:color w:val="1B1B1B"/>
          <w:sz w:val="27"/>
          <w:szCs w:val="27"/>
        </w:rPr>
        <w:t xml:space="preserve">The UK now has </w:t>
      </w:r>
      <w:hyperlink r:id="rId4">
        <w:r>
          <w:rPr>
            <w:color w:val="416ED2"/>
            <w:sz w:val="27"/>
            <w:szCs w:val="27"/>
          </w:rPr>
          <w:t>among the highest rates of bank closures in Europe</w:t>
        </w:r>
      </w:hyperlink>
      <w:r>
        <w:rPr>
          <w:color w:val="1B1B1B"/>
          <w:sz w:val="27"/>
          <w:szCs w:val="27"/>
        </w:rPr>
        <w:t>. Only Spain and the Netherlands reported a higher proportion, at 37pc and 48pc respectively, according to figures from management consultancy Kearney.</w:t>
      </w:r>
    </w:p>
    <w:p w14:paraId="0000000B" w14:textId="77777777" w:rsidR="00D3131D" w:rsidRDefault="00000000">
      <w:pPr>
        <w:spacing w:before="280" w:after="280"/>
        <w:rPr>
          <w:color w:val="1B1B1B"/>
          <w:sz w:val="27"/>
          <w:szCs w:val="27"/>
        </w:rPr>
      </w:pPr>
      <w:r>
        <w:rPr>
          <w:color w:val="1B1B1B"/>
          <w:sz w:val="27"/>
          <w:szCs w:val="27"/>
        </w:rPr>
        <w:t>The fast rate of branch closures leaves dozens of high streets across the UK without a bank. There is just one bank branch for every 10,000 people in the UK, compared to 4.9 branches per 10,000 people in France.</w:t>
      </w:r>
    </w:p>
    <w:p w14:paraId="0000000C" w14:textId="77777777" w:rsidR="00D3131D" w:rsidRDefault="00000000">
      <w:pPr>
        <w:spacing w:before="280" w:after="280"/>
        <w:rPr>
          <w:color w:val="1B1B1B"/>
          <w:sz w:val="27"/>
          <w:szCs w:val="27"/>
        </w:rPr>
      </w:pPr>
      <w:r>
        <w:rPr>
          <w:color w:val="1B1B1B"/>
          <w:sz w:val="27"/>
          <w:szCs w:val="27"/>
        </w:rPr>
        <w:t>Banks’ shrinking presence on the high street comes as lenders across the country seek to cut costs and focus on their digital offering.</w:t>
      </w:r>
    </w:p>
    <w:p w14:paraId="0000000D" w14:textId="77777777" w:rsidR="00D3131D" w:rsidRDefault="00000000">
      <w:pPr>
        <w:spacing w:before="280" w:after="280"/>
        <w:rPr>
          <w:color w:val="1B1B1B"/>
          <w:sz w:val="27"/>
          <w:szCs w:val="27"/>
        </w:rPr>
      </w:pPr>
      <w:r>
        <w:rPr>
          <w:color w:val="1B1B1B"/>
          <w:sz w:val="27"/>
          <w:szCs w:val="27"/>
        </w:rPr>
        <w:lastRenderedPageBreak/>
        <w:t>The UK’s largest retail banks are also facing increasing competition from challenger banks such as Monzo and Starling Bank, which have lower costs because they have no branches and fewer staff.</w:t>
      </w:r>
    </w:p>
    <w:p w14:paraId="0000000E" w14:textId="77777777" w:rsidR="00D3131D" w:rsidRDefault="00000000">
      <w:pPr>
        <w:spacing w:before="280" w:after="280"/>
        <w:rPr>
          <w:color w:val="1B1B1B"/>
          <w:sz w:val="27"/>
          <w:szCs w:val="27"/>
        </w:rPr>
      </w:pPr>
      <w:r>
        <w:rPr>
          <w:color w:val="1B1B1B"/>
          <w:sz w:val="27"/>
          <w:szCs w:val="27"/>
        </w:rPr>
        <w:t>Some of Britain’s largest banks are continuing to shut down branches this year. Barclays is set to close 99 branches, Santander is shutting down 95 and NatWest is abandoning 108.</w:t>
      </w:r>
    </w:p>
    <w:p w14:paraId="0000000F" w14:textId="77777777" w:rsidR="00D3131D" w:rsidRDefault="00000000">
      <w:pPr>
        <w:spacing w:before="280" w:after="280"/>
        <w:rPr>
          <w:color w:val="1B1B1B"/>
          <w:sz w:val="27"/>
          <w:szCs w:val="27"/>
        </w:rPr>
      </w:pPr>
      <w:r>
        <w:rPr>
          <w:color w:val="1B1B1B"/>
          <w:sz w:val="27"/>
          <w:szCs w:val="27"/>
        </w:rPr>
        <w:t>To replace branches, some banks have started to use shared banking hubs, which each lender uses for one day a week. The Government has ambitious targets to open banking hubs across the country, although some have been forced to open in libraries and cafes because of the lack of cheap rental rates on the high street.</w:t>
      </w:r>
    </w:p>
    <w:p w14:paraId="00000010" w14:textId="77777777" w:rsidR="00D3131D" w:rsidRDefault="00000000">
      <w:pPr>
        <w:spacing w:before="280" w:after="280"/>
        <w:rPr>
          <w:color w:val="1B1B1B"/>
          <w:sz w:val="27"/>
          <w:szCs w:val="27"/>
        </w:rPr>
      </w:pPr>
      <w:r>
        <w:rPr>
          <w:color w:val="1B1B1B"/>
          <w:sz w:val="27"/>
          <w:szCs w:val="27"/>
        </w:rPr>
        <w:t>The decline of bank branches and free ATMs has also sparked concerns about a potential decline in cash acceptance. The number of cash machines in the UK fell by 5pc year on year to 46,182 in 2024, according to ATM provider Link.</w:t>
      </w:r>
    </w:p>
    <w:p w14:paraId="00000011" w14:textId="77777777" w:rsidR="00D3131D" w:rsidRDefault="00000000">
      <w:pPr>
        <w:spacing w:before="280" w:after="280"/>
        <w:rPr>
          <w:color w:val="1B1B1B"/>
          <w:sz w:val="27"/>
          <w:szCs w:val="27"/>
        </w:rPr>
      </w:pPr>
      <w:r>
        <w:rPr>
          <w:color w:val="1B1B1B"/>
          <w:sz w:val="27"/>
          <w:szCs w:val="27"/>
        </w:rPr>
        <w:t xml:space="preserve">Since the pandemic, there has also been a rise in the number of businesses that </w:t>
      </w:r>
      <w:hyperlink r:id="rId5">
        <w:r>
          <w:rPr>
            <w:color w:val="416ED2"/>
            <w:sz w:val="27"/>
            <w:szCs w:val="27"/>
          </w:rPr>
          <w:t>call themselves cash-free</w:t>
        </w:r>
      </w:hyperlink>
      <w:r>
        <w:rPr>
          <w:color w:val="1B1B1B"/>
          <w:sz w:val="27"/>
          <w:szCs w:val="27"/>
        </w:rPr>
        <w:t>, with others stating that they prefer customers to accept card or contactless payments.</w:t>
      </w:r>
    </w:p>
    <w:p w14:paraId="00000012" w14:textId="77777777" w:rsidR="00D3131D" w:rsidRDefault="00000000">
      <w:pPr>
        <w:spacing w:before="280" w:after="280"/>
        <w:rPr>
          <w:color w:val="1B1B1B"/>
          <w:sz w:val="27"/>
          <w:szCs w:val="27"/>
        </w:rPr>
      </w:pPr>
      <w:r>
        <w:rPr>
          <w:color w:val="1B1B1B"/>
          <w:sz w:val="27"/>
          <w:szCs w:val="27"/>
        </w:rPr>
        <w:t xml:space="preserve">Over the last decade, there has also been a significant decline in the number of cash transactions. Cash accounted for just over half of all payments in </w:t>
      </w:r>
      <w:proofErr w:type="gramStart"/>
      <w:r>
        <w:rPr>
          <w:color w:val="1B1B1B"/>
          <w:sz w:val="27"/>
          <w:szCs w:val="27"/>
        </w:rPr>
        <w:t>2013, but</w:t>
      </w:r>
      <w:proofErr w:type="gramEnd"/>
      <w:r>
        <w:rPr>
          <w:color w:val="1B1B1B"/>
          <w:sz w:val="27"/>
          <w:szCs w:val="27"/>
        </w:rPr>
        <w:t xml:space="preserve"> fell to 12pc in 2023 as the popularity of card and digital increased.</w:t>
      </w:r>
    </w:p>
    <w:p w14:paraId="00000013" w14:textId="77777777" w:rsidR="00D3131D" w:rsidRDefault="00D3131D">
      <w:pPr>
        <w:spacing w:before="280" w:after="280"/>
        <w:rPr>
          <w:color w:val="1B1B1B"/>
          <w:sz w:val="27"/>
          <w:szCs w:val="27"/>
        </w:rPr>
      </w:pPr>
    </w:p>
    <w:p w14:paraId="00000014" w14:textId="77777777" w:rsidR="00D3131D" w:rsidRDefault="00D3131D">
      <w:pPr>
        <w:spacing w:before="280" w:after="280"/>
      </w:pPr>
    </w:p>
    <w:sectPr w:rsidR="00D313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FE3AF45-501D-044C-8EBD-4B11C62F9596}"/>
    <w:embedBold r:id="rId2" w:fontKey="{8A7467E5-6D30-2C48-A11A-0774B6B36881}"/>
    <w:embedItalic r:id="rId3" w:fontKey="{B18B50E9-8098-A94D-9DD4-AC2330FF98EA}"/>
  </w:font>
  <w:font w:name="Times New Roman">
    <w:panose1 w:val="02020603050405020304"/>
    <w:charset w:val="00"/>
    <w:family w:val="roman"/>
    <w:pitch w:val="variable"/>
    <w:sig w:usb0="E0002EFF" w:usb1="C000785B" w:usb2="00000009" w:usb3="00000000" w:csb0="000001FF" w:csb1="00000000"/>
    <w:embedRegular r:id="rId4" w:fontKey="{8671023D-7B66-F946-B8B3-5E53ED746BEA}"/>
  </w:font>
  <w:font w:name="Calibri">
    <w:panose1 w:val="020F0502020204030204"/>
    <w:charset w:val="00"/>
    <w:family w:val="swiss"/>
    <w:pitch w:val="variable"/>
    <w:sig w:usb0="E4002EFF" w:usb1="C200247B" w:usb2="00000009" w:usb3="00000000" w:csb0="000001FF" w:csb1="00000000"/>
    <w:embedRegular r:id="rId5" w:fontKey="{2AE109FB-04CA-0344-ACAC-7DBCA99022EA}"/>
  </w:font>
  <w:font w:name="Cambria">
    <w:panose1 w:val="02040503050406030204"/>
    <w:charset w:val="00"/>
    <w:family w:val="roman"/>
    <w:pitch w:val="variable"/>
    <w:sig w:usb0="E00006FF" w:usb1="420024FF" w:usb2="02000000" w:usb3="00000000" w:csb0="0000019F" w:csb1="00000000"/>
    <w:embedRegular r:id="rId6" w:fontKey="{29191199-310E-CA45-8BC9-AE3A8E3B10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1D"/>
    <w:rsid w:val="00AC109A"/>
    <w:rsid w:val="00C00759"/>
    <w:rsid w:val="00D313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CE8788"/>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elegraph.co.uk/business/2025/07/12/bank-of-england-to-monitor-cash-payments-two-tier-society/" TargetMode="External"/><Relationship Id="rId4" Type="http://schemas.openxmlformats.org/officeDocument/2006/relationships/hyperlink" Target="https://www.telegraph.co.uk/business/2024/02/24/battle-stop-high-street-banks-clos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2026-05-11T11:08:00Z</dcterms:created>
  <dcterms:modified xsi:type="dcterms:W3CDTF">2026-05-11T11:09:00Z</dcterms:modified>
</cp:coreProperties>
</file>