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sz w:val="48"/>
          <w:szCs w:val="48"/>
        </w:rPr>
      </w:pPr>
      <w:bookmarkStart w:colFirst="0" w:colLast="0" w:name="_oum9ao9vvvqt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Barclays increases bonus, overtime and commission income cap in affordability boost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Barclays has upped the amount of bonus, overtime and commission income it will consider in its affordability calculations. 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lender had previously capped the income it considered at a value equal to the customer’s basic salary plus allowances, but it will now consider bonus, overtime and commission income up to four times basic salary plus allowances.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 example, a borrower with a basic annual salary of £30,000 per year earning £120,000 in commission would have previously been considered to have an income of £60,000. With the changes, this has been increased to £150,000.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Barclays has made several changes to its affordability this year, including changes to affordability calculations that allowed a family to potentially borrow up to £30,750 more. This is subject to application, financial circumstances and borrowing history.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lender has also increased the maximum loan amounts for high-loan-to-value (LTV) purchases across all of its mortgages, going up to £640,000 for houses and £310,000 for flats.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Barclays also made a few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enhancements for its self-employed, interest-only and buy-to-let (BTL) customers,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allowing them to borrow more when buying a home.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fldChar w:fldCharType="begin"/>
        <w:instrText xml:space="preserve"> HYPERLINK "https://www.mortgagesolutions.co.uk/sponsored-content/bmsolutions-co-uk/renters-rights-act-what-landlords-may-be-getting-wrong/"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addition, the firm brought out a </w:t>
      </w:r>
      <w:hyperlink r:id="rId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Mortgage Boost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product, allowing friends and family to boost the amount borrowed, and a </w:t>
      </w:r>
      <w:hyperlink r:id="rId8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zero-deposit mortgage for Right to Buy applicants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Lee Chiswell, head of mortgages at Barclays, said: “We know that affordability is probably the greatest barrier for most consumers who want to buy a home. We’ve taken a long look at how we can support customers, particularly first-time buyers, and as a result, have made several tweaks to our lending criteria.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“Taken together, these will make all the difference for a range of people with different income types, getting people into homes that would previously have been out of reach.”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olutions.co.uk/news/2025/10/06/barclays-tweaks-self-employed-interest-only-and-btl-criteria/" TargetMode="External"/><Relationship Id="rId7" Type="http://schemas.openxmlformats.org/officeDocument/2006/relationships/hyperlink" Target="https://www.mortgagesolutions.co.uk/news/2025/01/28/barclays-unveils-mortgage-boost-offer-to-up-customer-borrowing-power/" TargetMode="External"/><Relationship Id="rId8" Type="http://schemas.openxmlformats.org/officeDocument/2006/relationships/hyperlink" Target="https://www.mortgagesolutions.co.uk/news/2025/04/08/barclays-launches-0-deposit-mortgage-for-right-to-buy-applican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