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72B01" w:rsidRDefault="00000000">
      <w:pPr>
        <w:pStyle w:val="Heading1"/>
        <w:keepNext w:val="0"/>
        <w:keepLines w:val="0"/>
        <w:spacing w:before="0" w:after="460" w:line="291" w:lineRule="auto"/>
        <w:rPr>
          <w:b/>
          <w:bCs/>
          <w:color w:val="1B1B1B"/>
          <w:sz w:val="90"/>
          <w:szCs w:val="90"/>
        </w:rPr>
      </w:pPr>
      <w:bookmarkStart w:id="0" w:name="_cgepfdrul48l" w:colFirst="0" w:colLast="0"/>
      <w:bookmarkEnd w:id="0"/>
      <w:r>
        <w:rPr>
          <w:b/>
          <w:bCs/>
          <w:color w:val="1B1B1B"/>
          <w:sz w:val="90"/>
          <w:szCs w:val="90"/>
        </w:rPr>
        <w:t>Barclays announces ‘bonanza’ rate reductions</w:t>
      </w:r>
    </w:p>
    <w:p w14:paraId="00000005" w14:textId="70AF7783" w:rsidR="00472B01" w:rsidRPr="00E10596" w:rsidRDefault="00000000">
      <w:pPr>
        <w:rPr>
          <w:color w:val="1B1B1B"/>
          <w:sz w:val="27"/>
          <w:szCs w:val="27"/>
        </w:rPr>
      </w:pPr>
      <w:r>
        <w:rPr>
          <w:color w:val="1B1B1B"/>
          <w:sz w:val="27"/>
          <w:szCs w:val="27"/>
        </w:rPr>
        <w:t>​</w:t>
      </w:r>
    </w:p>
    <w:p w14:paraId="00000006" w14:textId="77777777" w:rsidR="00472B01" w:rsidRDefault="00000000">
      <w:pPr>
        <w:spacing w:before="280" w:after="280"/>
        <w:rPr>
          <w:color w:val="1B1B1B"/>
          <w:sz w:val="27"/>
          <w:szCs w:val="27"/>
        </w:rPr>
      </w:pPr>
      <w:hyperlink r:id="rId4">
        <w:r>
          <w:rPr>
            <w:color w:val="416ED2"/>
            <w:sz w:val="27"/>
            <w:szCs w:val="27"/>
          </w:rPr>
          <w:t>Barclays</w:t>
        </w:r>
      </w:hyperlink>
      <w:r>
        <w:rPr>
          <w:color w:val="1B1B1B"/>
          <w:sz w:val="27"/>
          <w:szCs w:val="27"/>
        </w:rPr>
        <w:t xml:space="preserve"> has introduced a “bonanza” set of </w:t>
      </w:r>
      <w:hyperlink r:id="rId5">
        <w:r>
          <w:rPr>
            <w:color w:val="416ED2"/>
            <w:sz w:val="27"/>
            <w:szCs w:val="27"/>
          </w:rPr>
          <w:t>rate reductions</w:t>
        </w:r>
      </w:hyperlink>
      <w:r>
        <w:rPr>
          <w:color w:val="1B1B1B"/>
          <w:sz w:val="27"/>
          <w:szCs w:val="27"/>
        </w:rPr>
        <w:t xml:space="preserve"> ahead of the </w:t>
      </w:r>
      <w:hyperlink r:id="rId6">
        <w:r>
          <w:rPr>
            <w:color w:val="416ED2"/>
            <w:sz w:val="27"/>
            <w:szCs w:val="27"/>
          </w:rPr>
          <w:t>Budget</w:t>
        </w:r>
      </w:hyperlink>
      <w:r>
        <w:rPr>
          <w:color w:val="1B1B1B"/>
          <w:sz w:val="27"/>
          <w:szCs w:val="27"/>
        </w:rPr>
        <w:t>.</w:t>
      </w:r>
    </w:p>
    <w:p w14:paraId="00000007" w14:textId="77777777" w:rsidR="00472B01" w:rsidRDefault="00000000">
      <w:pPr>
        <w:spacing w:before="280" w:after="280"/>
        <w:rPr>
          <w:color w:val="1B1B1B"/>
          <w:sz w:val="27"/>
          <w:szCs w:val="27"/>
        </w:rPr>
      </w:pPr>
      <w:r>
        <w:rPr>
          <w:color w:val="1B1B1B"/>
          <w:sz w:val="27"/>
          <w:szCs w:val="27"/>
        </w:rPr>
        <w:t xml:space="preserve">Barclays’ cuts include its 4.19 per cent 2-year fixed-rate purchase mortgage with </w:t>
      </w:r>
      <w:proofErr w:type="gramStart"/>
      <w:r>
        <w:rPr>
          <w:color w:val="1B1B1B"/>
          <w:sz w:val="27"/>
          <w:szCs w:val="27"/>
        </w:rPr>
        <w:t>a</w:t>
      </w:r>
      <w:proofErr w:type="gramEnd"/>
      <w:r>
        <w:rPr>
          <w:color w:val="1B1B1B"/>
          <w:sz w:val="27"/>
          <w:szCs w:val="27"/>
        </w:rPr>
        <w:t xml:space="preserve"> £899 product fee available at 85 per cent LTV decreasing to 4.02 per cent.</w:t>
      </w:r>
    </w:p>
    <w:p w14:paraId="00000008" w14:textId="77777777" w:rsidR="00472B01" w:rsidRDefault="00000000">
      <w:pPr>
        <w:spacing w:before="280" w:after="280"/>
        <w:rPr>
          <w:color w:val="1B1B1B"/>
          <w:sz w:val="27"/>
          <w:szCs w:val="27"/>
        </w:rPr>
      </w:pPr>
      <w:r>
        <w:rPr>
          <w:color w:val="1B1B1B"/>
          <w:sz w:val="27"/>
          <w:szCs w:val="27"/>
        </w:rPr>
        <w:t>Meanwhile, a 4.43 per cent 2-year fixed purchase mortgage with no product fee at 85 per cent LTV will come down to 4.26 per cent and a 4.22 per cent 5-year fixed purchase mortgage with an £899 product fee at 85 per cent LTV will drop to 4.12 per cent.</w:t>
      </w:r>
    </w:p>
    <w:p w14:paraId="00000009" w14:textId="77777777" w:rsidR="00472B01" w:rsidRDefault="00000000">
      <w:pPr>
        <w:spacing w:before="280" w:after="280"/>
        <w:rPr>
          <w:color w:val="1B1B1B"/>
          <w:sz w:val="27"/>
          <w:szCs w:val="27"/>
        </w:rPr>
      </w:pPr>
      <w:r>
        <w:rPr>
          <w:color w:val="1B1B1B"/>
          <w:sz w:val="27"/>
          <w:szCs w:val="27"/>
        </w:rPr>
        <w:t>Lawson Financial director, Michelle Lawson, was positive about the announcement, describing it as a “bonanza” set of rate reductions.</w:t>
      </w:r>
    </w:p>
    <w:p w14:paraId="0000000A" w14:textId="77777777" w:rsidR="00472B01" w:rsidRDefault="00000000">
      <w:pPr>
        <w:spacing w:before="280" w:after="280"/>
        <w:rPr>
          <w:color w:val="1B1B1B"/>
          <w:sz w:val="27"/>
          <w:szCs w:val="27"/>
        </w:rPr>
      </w:pPr>
      <w:r>
        <w:rPr>
          <w:color w:val="1B1B1B"/>
          <w:sz w:val="27"/>
          <w:szCs w:val="27"/>
        </w:rPr>
        <w:t>“</w:t>
      </w:r>
      <w:proofErr w:type="gramStart"/>
      <w:r>
        <w:rPr>
          <w:color w:val="1B1B1B"/>
          <w:sz w:val="27"/>
          <w:szCs w:val="27"/>
        </w:rPr>
        <w:t>Usually</w:t>
      </w:r>
      <w:proofErr w:type="gramEnd"/>
      <w:r>
        <w:rPr>
          <w:color w:val="1B1B1B"/>
          <w:sz w:val="27"/>
          <w:szCs w:val="27"/>
        </w:rPr>
        <w:t xml:space="preserve"> the last quarter of the year is stagnant from lenders in terms of rate changes and criteria </w:t>
      </w:r>
      <w:proofErr w:type="gramStart"/>
      <w:r>
        <w:rPr>
          <w:color w:val="1B1B1B"/>
          <w:sz w:val="27"/>
          <w:szCs w:val="27"/>
        </w:rPr>
        <w:t>updates</w:t>
      </w:r>
      <w:proofErr w:type="gramEnd"/>
      <w:r>
        <w:rPr>
          <w:color w:val="1B1B1B"/>
          <w:sz w:val="27"/>
          <w:szCs w:val="27"/>
        </w:rPr>
        <w:t xml:space="preserve"> but we are seeing a surge of this to close 2025,” she said.</w:t>
      </w:r>
    </w:p>
    <w:p w14:paraId="0000000B" w14:textId="77777777" w:rsidR="00472B01" w:rsidRDefault="00000000">
      <w:pPr>
        <w:spacing w:before="280" w:after="280"/>
        <w:rPr>
          <w:color w:val="1B1B1B"/>
          <w:sz w:val="27"/>
          <w:szCs w:val="27"/>
        </w:rPr>
      </w:pPr>
      <w:r>
        <w:rPr>
          <w:color w:val="1B1B1B"/>
          <w:sz w:val="27"/>
          <w:szCs w:val="27"/>
        </w:rPr>
        <w:t>“Lenders are desperate to hit their targets and rates are coming down as a result.</w:t>
      </w:r>
    </w:p>
    <w:p w14:paraId="0000000C" w14:textId="77777777" w:rsidR="00472B01" w:rsidRDefault="00000000">
      <w:pPr>
        <w:spacing w:before="280" w:after="280"/>
        <w:rPr>
          <w:color w:val="1B1B1B"/>
          <w:sz w:val="27"/>
          <w:szCs w:val="27"/>
        </w:rPr>
      </w:pPr>
      <w:r>
        <w:rPr>
          <w:color w:val="1B1B1B"/>
          <w:sz w:val="27"/>
          <w:szCs w:val="27"/>
        </w:rPr>
        <w:t>“Rates are within touching distance of 4 per cent for borrowers with a 15 per cent deposit, which is quite some achievement in the current climate.”</w:t>
      </w:r>
    </w:p>
    <w:p w14:paraId="0000000D" w14:textId="77777777" w:rsidR="00472B01" w:rsidRDefault="00000000">
      <w:pPr>
        <w:spacing w:before="280" w:after="280"/>
        <w:rPr>
          <w:color w:val="1B1B1B"/>
          <w:sz w:val="27"/>
          <w:szCs w:val="27"/>
        </w:rPr>
      </w:pPr>
      <w:r>
        <w:rPr>
          <w:color w:val="1B1B1B"/>
          <w:sz w:val="27"/>
          <w:szCs w:val="27"/>
        </w:rPr>
        <w:lastRenderedPageBreak/>
        <w:t xml:space="preserve">A similar sentiment was expressed by </w:t>
      </w:r>
      <w:proofErr w:type="spellStart"/>
      <w:r>
        <w:rPr>
          <w:color w:val="1B1B1B"/>
          <w:sz w:val="27"/>
          <w:szCs w:val="27"/>
        </w:rPr>
        <w:t>Brooklyns</w:t>
      </w:r>
      <w:proofErr w:type="spellEnd"/>
      <w:r>
        <w:rPr>
          <w:color w:val="1B1B1B"/>
          <w:sz w:val="27"/>
          <w:szCs w:val="27"/>
        </w:rPr>
        <w:t xml:space="preserve"> Financial director, Harps Garcha, who said “it looks like the festive season has arrived early for borrowers”.</w:t>
      </w:r>
    </w:p>
    <w:p w14:paraId="0000000F" w14:textId="77777777" w:rsidR="00472B01" w:rsidRDefault="00000000">
      <w:pPr>
        <w:spacing w:before="280" w:after="280"/>
        <w:rPr>
          <w:color w:val="1B1B1B"/>
          <w:sz w:val="27"/>
          <w:szCs w:val="27"/>
        </w:rPr>
      </w:pPr>
      <w:r>
        <w:rPr>
          <w:color w:val="1B1B1B"/>
          <w:sz w:val="27"/>
          <w:szCs w:val="27"/>
        </w:rPr>
        <w:t>She added that she is confident more lenders will be following suit in the next few days, but acknowledged that how long this trend will last will depend on what is announced in the Budget.</w:t>
      </w:r>
    </w:p>
    <w:p w14:paraId="00000010" w14:textId="77777777" w:rsidR="00472B01" w:rsidRDefault="00000000">
      <w:pPr>
        <w:spacing w:before="280" w:after="280"/>
        <w:rPr>
          <w:color w:val="1B1B1B"/>
          <w:sz w:val="27"/>
          <w:szCs w:val="27"/>
        </w:rPr>
      </w:pPr>
      <w:r>
        <w:rPr>
          <w:color w:val="1B1B1B"/>
          <w:sz w:val="27"/>
          <w:szCs w:val="27"/>
        </w:rPr>
        <w:t>Meanwhile, EHF Mortgages managing director, Justin Moy, described this latest bout as being “important” as it signifies a “whiff of competitive spirit”.</w:t>
      </w:r>
    </w:p>
    <w:p w14:paraId="00000011" w14:textId="77777777" w:rsidR="00472B01" w:rsidRDefault="00000000">
      <w:pPr>
        <w:spacing w:before="280" w:after="280"/>
        <w:rPr>
          <w:color w:val="1B1B1B"/>
          <w:sz w:val="27"/>
          <w:szCs w:val="27"/>
        </w:rPr>
      </w:pPr>
      <w:r>
        <w:rPr>
          <w:color w:val="1B1B1B"/>
          <w:sz w:val="27"/>
          <w:szCs w:val="27"/>
        </w:rPr>
        <w:t>“A lot will rest on the output of the budget in two weeks’ time, but for those with smaller deposits, a 15 per cent deposit nearly qualifies you for a 4 per cent deal,” he said.</w:t>
      </w:r>
    </w:p>
    <w:p w14:paraId="00000012" w14:textId="77777777" w:rsidR="00472B01" w:rsidRDefault="00000000">
      <w:pPr>
        <w:spacing w:before="280" w:after="280"/>
        <w:rPr>
          <w:color w:val="1B1B1B"/>
          <w:sz w:val="27"/>
          <w:szCs w:val="27"/>
        </w:rPr>
      </w:pPr>
      <w:r>
        <w:rPr>
          <w:color w:val="1B1B1B"/>
          <w:sz w:val="27"/>
          <w:szCs w:val="27"/>
        </w:rPr>
        <w:t>“That’s some serious progress in rate pricing in recent months.”</w:t>
      </w:r>
    </w:p>
    <w:p w14:paraId="00000013" w14:textId="77777777" w:rsidR="00472B01" w:rsidRDefault="00000000">
      <w:pPr>
        <w:spacing w:before="280" w:after="280"/>
        <w:rPr>
          <w:color w:val="1B1B1B"/>
          <w:sz w:val="27"/>
          <w:szCs w:val="27"/>
        </w:rPr>
      </w:pPr>
      <w:r>
        <w:rPr>
          <w:color w:val="1B1B1B"/>
          <w:sz w:val="27"/>
          <w:szCs w:val="27"/>
        </w:rPr>
        <w:t>Finally, Archie John Financial broker, Cameron Scott, pointed out that rate reductions, such as Barclays’s, can help take the pressure off borrowers, giving them extra disposable income in a tough economic climate.</w:t>
      </w:r>
    </w:p>
    <w:p w14:paraId="00000014" w14:textId="77777777" w:rsidR="00472B01" w:rsidRDefault="00000000">
      <w:pPr>
        <w:spacing w:before="280" w:after="280"/>
        <w:rPr>
          <w:color w:val="1B1B1B"/>
          <w:sz w:val="27"/>
          <w:szCs w:val="27"/>
        </w:rPr>
      </w:pPr>
      <w:r>
        <w:rPr>
          <w:color w:val="1B1B1B"/>
          <w:sz w:val="27"/>
          <w:szCs w:val="27"/>
        </w:rPr>
        <w:t xml:space="preserve">“Inflation is stubbornly high and household need all the support they can </w:t>
      </w:r>
      <w:proofErr w:type="gramStart"/>
      <w:r>
        <w:rPr>
          <w:color w:val="1B1B1B"/>
          <w:sz w:val="27"/>
          <w:szCs w:val="27"/>
        </w:rPr>
        <w:t>get</w:t>
      </w:r>
      <w:proofErr w:type="gramEnd"/>
      <w:r>
        <w:rPr>
          <w:color w:val="1B1B1B"/>
          <w:sz w:val="27"/>
          <w:szCs w:val="27"/>
        </w:rPr>
        <w:t xml:space="preserve"> and lower mortgage rates help deliver this,” he said.</w:t>
      </w:r>
    </w:p>
    <w:p w14:paraId="00000015" w14:textId="77777777" w:rsidR="00472B01" w:rsidRDefault="00000000">
      <w:pPr>
        <w:spacing w:before="280" w:after="280"/>
        <w:rPr>
          <w:color w:val="1B1B1B"/>
          <w:sz w:val="27"/>
          <w:szCs w:val="27"/>
        </w:rPr>
      </w:pPr>
      <w:r>
        <w:rPr>
          <w:color w:val="1B1B1B"/>
          <w:sz w:val="27"/>
          <w:szCs w:val="27"/>
        </w:rPr>
        <w:t>“Bravo to Barclays for delivering these cuts.”</w:t>
      </w:r>
    </w:p>
    <w:p w14:paraId="00000016" w14:textId="77777777" w:rsidR="00472B01" w:rsidRDefault="00472B01"/>
    <w:sectPr w:rsidR="00472B0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AE589EEE-37BB-F147-AEAC-5F52B391E2C3}"/>
    <w:embedBold r:id="rId2" w:fontKey="{58AA48F6-E9A4-6E40-B391-BE492718A3B1}"/>
    <w:embedItalic r:id="rId3" w:fontKey="{229D1679-8B1F-0249-B5F2-DF298991EDBB}"/>
  </w:font>
  <w:font w:name="Times New Roman">
    <w:panose1 w:val="02020603050405020304"/>
    <w:charset w:val="00"/>
    <w:family w:val="roman"/>
    <w:pitch w:val="variable"/>
    <w:sig w:usb0="E0002EFF" w:usb1="C000785B" w:usb2="00000009" w:usb3="00000000" w:csb0="000001FF" w:csb1="00000000"/>
    <w:embedRegular r:id="rId4" w:fontKey="{2BB4DEC4-B0FF-D64B-91CA-BFD29A38B1A7}"/>
  </w:font>
  <w:font w:name="Calibri">
    <w:panose1 w:val="020F0502020204030204"/>
    <w:charset w:val="00"/>
    <w:family w:val="swiss"/>
    <w:pitch w:val="variable"/>
    <w:sig w:usb0="E4002EFF" w:usb1="C200247B" w:usb2="00000009" w:usb3="00000000" w:csb0="000001FF" w:csb1="00000000"/>
    <w:embedRegular r:id="rId5" w:fontKey="{8550A646-13A1-3745-8B44-86AE7C7D3570}"/>
  </w:font>
  <w:font w:name="Cambria">
    <w:panose1 w:val="02040503050406030204"/>
    <w:charset w:val="00"/>
    <w:family w:val="roman"/>
    <w:pitch w:val="variable"/>
    <w:sig w:usb0="E00006FF" w:usb1="420024FF" w:usb2="02000000" w:usb3="00000000" w:csb0="0000019F" w:csb1="00000000"/>
    <w:embedRegular r:id="rId6" w:fontKey="{C74DB61C-CBBE-034F-8BB1-1D5BA23F5E5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B01"/>
    <w:rsid w:val="00472B01"/>
    <w:rsid w:val="00C00759"/>
    <w:rsid w:val="00E105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7E0C9E"/>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tadviser.com/autumn-statement/" TargetMode="External"/><Relationship Id="rId5" Type="http://schemas.openxmlformats.org/officeDocument/2006/relationships/hyperlink" Target="https://www.ftadviser.com/mortgage-rates/" TargetMode="External"/><Relationship Id="rId4" Type="http://schemas.openxmlformats.org/officeDocument/2006/relationships/hyperlink" Target="https://www.ftadviser.com/barclays-pl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2026-05-11T11:17:00Z</dcterms:created>
  <dcterms:modified xsi:type="dcterms:W3CDTF">2026-05-11T11:18:00Z</dcterms:modified>
</cp:coreProperties>
</file>