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sz w:val="48"/>
          <w:szCs w:val="48"/>
        </w:rPr>
      </w:pPr>
      <w:bookmarkStart w:colFirst="0" w:colLast="0" w:name="_p16qa42bcw79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Barclays ups max resi LTI to 6x income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color w:val="52525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Barclays has increased the maximum residential loan-to-income (LTI) multiple from 5.5 times to six times gross annual income.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lender said this shows its “continued commitment to helping your clients achieve their homeownership goals responsibly”.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order to be eligible for the enhanced income multiple, customers must have a joint income of £75,000 or higher.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includes basic salary, sustainable allowances and/or self-employed income.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maximum loan to value (LTV) is 85% and the mortgage must be structured on a fully capital and interest repayment basis.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Earlier this year, the Prudential Regulation Authority (PRA) and Financial Conduct Authority (FCA) made changes to the recommendations for high-LTI lending.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