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B6FA7" w:rsidRDefault="00000000">
      <w:pPr>
        <w:pStyle w:val="Heading1"/>
        <w:keepNext w:val="0"/>
        <w:keepLines w:val="0"/>
        <w:spacing w:before="0" w:after="460" w:line="291" w:lineRule="auto"/>
        <w:rPr>
          <w:b/>
          <w:bCs/>
          <w:color w:val="1B1B1B"/>
          <w:sz w:val="90"/>
          <w:szCs w:val="90"/>
        </w:rPr>
      </w:pPr>
      <w:bookmarkStart w:id="0" w:name="_nbs6psgqamhi" w:colFirst="0" w:colLast="0"/>
      <w:bookmarkEnd w:id="0"/>
      <w:r>
        <w:rPr>
          <w:b/>
          <w:bCs/>
          <w:color w:val="1B1B1B"/>
          <w:sz w:val="90"/>
          <w:szCs w:val="90"/>
        </w:rPr>
        <w:t>‘Barclays error gave estranged relative access to my grandmother’s bank account’</w:t>
      </w:r>
    </w:p>
    <w:p w14:paraId="00000004" w14:textId="58719393" w:rsidR="00AB6FA7" w:rsidRDefault="00000000">
      <w:pPr>
        <w:rPr>
          <w:color w:val="1B1B1B"/>
          <w:sz w:val="27"/>
          <w:szCs w:val="27"/>
        </w:rPr>
      </w:pPr>
      <w:r>
        <w:rPr>
          <w:color w:val="1B1B1B"/>
          <w:sz w:val="27"/>
          <w:szCs w:val="27"/>
        </w:rPr>
        <w:t>​​</w:t>
      </w:r>
    </w:p>
    <w:p w14:paraId="00000005" w14:textId="77777777" w:rsidR="00AB6FA7" w:rsidRDefault="00000000">
      <w:pPr>
        <w:pStyle w:val="Heading2"/>
        <w:keepNext w:val="0"/>
        <w:keepLines w:val="0"/>
        <w:spacing w:before="0" w:after="80" w:line="305" w:lineRule="auto"/>
        <w:rPr>
          <w:sz w:val="50"/>
          <w:szCs w:val="50"/>
        </w:rPr>
      </w:pPr>
      <w:bookmarkStart w:id="1" w:name="_86e0qb25d7r6" w:colFirst="0" w:colLast="0"/>
      <w:bookmarkEnd w:id="1"/>
      <w:r>
        <w:rPr>
          <w:sz w:val="50"/>
          <w:szCs w:val="50"/>
        </w:rPr>
        <w:t>Telegraph Money Investigates: our reader wants a family member removed as power of attorney</w:t>
      </w:r>
    </w:p>
    <w:p w14:paraId="00000006" w14:textId="77777777" w:rsidR="00AB6FA7" w:rsidRDefault="00000000">
      <w:pPr>
        <w:spacing w:before="280" w:after="280"/>
        <w:rPr>
          <w:color w:val="1B1B1B"/>
          <w:sz w:val="27"/>
          <w:szCs w:val="27"/>
        </w:rPr>
      </w:pPr>
      <w:r>
        <w:rPr>
          <w:color w:val="1B1B1B"/>
          <w:sz w:val="27"/>
          <w:szCs w:val="27"/>
        </w:rPr>
        <w:t>Dear Telegraph Money,</w:t>
      </w:r>
    </w:p>
    <w:p w14:paraId="00000007" w14:textId="77777777" w:rsidR="00AB6FA7" w:rsidRDefault="00000000">
      <w:pPr>
        <w:spacing w:before="280" w:after="280"/>
        <w:rPr>
          <w:color w:val="1B1B1B"/>
          <w:sz w:val="27"/>
          <w:szCs w:val="27"/>
        </w:rPr>
      </w:pPr>
      <w:r>
        <w:rPr>
          <w:color w:val="1B1B1B"/>
          <w:sz w:val="27"/>
          <w:szCs w:val="27"/>
        </w:rPr>
        <w:t>My 93-year-old grandmother lives with my mother in the annex of a rented home. For some time, they have been estranged from my aunt, who lives abroad.</w:t>
      </w:r>
    </w:p>
    <w:p w14:paraId="00000008" w14:textId="77777777" w:rsidR="00AB6FA7" w:rsidRDefault="00000000">
      <w:pPr>
        <w:spacing w:before="280" w:after="280"/>
        <w:rPr>
          <w:color w:val="1B1B1B"/>
          <w:sz w:val="27"/>
          <w:szCs w:val="27"/>
        </w:rPr>
      </w:pPr>
      <w:r>
        <w:rPr>
          <w:color w:val="1B1B1B"/>
          <w:sz w:val="27"/>
          <w:szCs w:val="27"/>
        </w:rPr>
        <w:t xml:space="preserve">Before they stopped speaking, my grandmother set up </w:t>
      </w:r>
      <w:hyperlink r:id="rId4">
        <w:r>
          <w:rPr>
            <w:color w:val="416ED2"/>
            <w:sz w:val="27"/>
            <w:szCs w:val="27"/>
          </w:rPr>
          <w:t>powers of attorney</w:t>
        </w:r>
      </w:hyperlink>
      <w:r>
        <w:rPr>
          <w:color w:val="1B1B1B"/>
          <w:sz w:val="27"/>
          <w:szCs w:val="27"/>
        </w:rPr>
        <w:t xml:space="preserve"> for both of her daughters so they could manage her affairs if needed.</w:t>
      </w:r>
    </w:p>
    <w:p w14:paraId="00000009" w14:textId="77777777" w:rsidR="00AB6FA7" w:rsidRDefault="00000000">
      <w:pPr>
        <w:spacing w:before="280" w:after="280"/>
        <w:rPr>
          <w:color w:val="1B1B1B"/>
          <w:sz w:val="27"/>
          <w:szCs w:val="27"/>
        </w:rPr>
      </w:pPr>
      <w:r>
        <w:rPr>
          <w:color w:val="1B1B1B"/>
          <w:sz w:val="27"/>
          <w:szCs w:val="27"/>
        </w:rPr>
        <w:t>But now that she no longer speaks to my aunt, she has obtained a “deed of revocation” to remove my aunt as an authorised person to control her finances.</w:t>
      </w:r>
    </w:p>
    <w:p w14:paraId="0000000A" w14:textId="77777777" w:rsidR="00AB6FA7" w:rsidRDefault="00000000">
      <w:pPr>
        <w:spacing w:before="280" w:after="280"/>
        <w:rPr>
          <w:color w:val="1B1B1B"/>
          <w:sz w:val="27"/>
          <w:szCs w:val="27"/>
        </w:rPr>
      </w:pPr>
      <w:r>
        <w:rPr>
          <w:color w:val="1B1B1B"/>
          <w:sz w:val="27"/>
          <w:szCs w:val="27"/>
        </w:rPr>
        <w:lastRenderedPageBreak/>
        <w:t>In February, my mother and grandmother contacted Barclays to confirm that my aunt was no longer an attorney and to remove all access to her accounts. Barclays responded to say they would follow up if they needed any additional documentation.</w:t>
      </w:r>
    </w:p>
    <w:p w14:paraId="0000000B" w14:textId="77777777" w:rsidR="00AB6FA7" w:rsidRDefault="00000000">
      <w:pPr>
        <w:spacing w:before="280" w:after="280"/>
        <w:rPr>
          <w:color w:val="1B1B1B"/>
          <w:sz w:val="27"/>
          <w:szCs w:val="27"/>
        </w:rPr>
      </w:pPr>
      <w:r>
        <w:rPr>
          <w:color w:val="1B1B1B"/>
          <w:sz w:val="27"/>
          <w:szCs w:val="27"/>
        </w:rPr>
        <w:t>In November, we contacted them again to confirm that they had removed my aunt’s access. It was only then that they informed us they needed to see the formal deed of revocation, which we have now provided.</w:t>
      </w:r>
    </w:p>
    <w:p w14:paraId="0000000C" w14:textId="77777777" w:rsidR="00AB6FA7" w:rsidRDefault="00000000">
      <w:pPr>
        <w:spacing w:before="280" w:after="280"/>
        <w:rPr>
          <w:color w:val="1B1B1B"/>
          <w:sz w:val="27"/>
          <w:szCs w:val="27"/>
        </w:rPr>
      </w:pPr>
      <w:r>
        <w:rPr>
          <w:color w:val="1B1B1B"/>
          <w:sz w:val="27"/>
          <w:szCs w:val="27"/>
        </w:rPr>
        <w:t>However, I am concerned they won’t remove my aunt’s access. Because my mother lives with my grandmother, my mother pays for food and is reimbursed from that account. I am concerned that she will be accused of misdoing when there is none.</w:t>
      </w:r>
    </w:p>
    <w:p w14:paraId="0000000D" w14:textId="77777777" w:rsidR="00AB6FA7" w:rsidRDefault="00000000">
      <w:pPr>
        <w:spacing w:before="280" w:after="280"/>
        <w:rPr>
          <w:color w:val="1B1B1B"/>
          <w:sz w:val="27"/>
          <w:szCs w:val="27"/>
        </w:rPr>
      </w:pPr>
      <w:r>
        <w:rPr>
          <w:color w:val="1B1B1B"/>
          <w:sz w:val="27"/>
          <w:szCs w:val="27"/>
        </w:rPr>
        <w:t>Can you help prevent my aunt from interfering with her mother’s money?</w:t>
      </w:r>
    </w:p>
    <w:p w14:paraId="0000000E" w14:textId="77777777" w:rsidR="00AB6FA7" w:rsidRDefault="00000000">
      <w:pPr>
        <w:spacing w:before="280" w:after="280"/>
        <w:rPr>
          <w:i/>
          <w:iCs/>
          <w:color w:val="1B1B1B"/>
          <w:sz w:val="27"/>
          <w:szCs w:val="27"/>
        </w:rPr>
      </w:pPr>
      <w:r>
        <w:rPr>
          <w:i/>
          <w:iCs/>
          <w:color w:val="1B1B1B"/>
          <w:sz w:val="27"/>
          <w:szCs w:val="27"/>
        </w:rPr>
        <w:t>– Ms R</w:t>
      </w:r>
    </w:p>
    <w:p w14:paraId="0000000F" w14:textId="77777777" w:rsidR="00AB6FA7" w:rsidRDefault="00000000">
      <w:pPr>
        <w:spacing w:before="280" w:after="280"/>
        <w:rPr>
          <w:color w:val="1B1B1B"/>
          <w:sz w:val="27"/>
          <w:szCs w:val="27"/>
        </w:rPr>
      </w:pPr>
      <w:r>
        <w:rPr>
          <w:color w:val="1B1B1B"/>
          <w:sz w:val="27"/>
          <w:szCs w:val="27"/>
        </w:rPr>
        <w:t>Dear Ms R,</w:t>
      </w:r>
    </w:p>
    <w:p w14:paraId="00000010" w14:textId="77777777" w:rsidR="00AB6FA7" w:rsidRDefault="00000000">
      <w:pPr>
        <w:spacing w:before="280" w:after="280"/>
        <w:rPr>
          <w:color w:val="1B1B1B"/>
          <w:sz w:val="27"/>
          <w:szCs w:val="27"/>
        </w:rPr>
      </w:pPr>
      <w:r>
        <w:rPr>
          <w:color w:val="1B1B1B"/>
          <w:sz w:val="27"/>
          <w:szCs w:val="27"/>
        </w:rPr>
        <w:t>When your grandmother set up her powers of attorney – a very sensible move on her part – she was still in regular contact with both of her daughters, so it made sense to name them both as attorneys.</w:t>
      </w:r>
    </w:p>
    <w:p w14:paraId="00000011" w14:textId="77777777" w:rsidR="00AB6FA7" w:rsidRDefault="00000000">
      <w:pPr>
        <w:spacing w:before="280" w:after="280"/>
        <w:rPr>
          <w:color w:val="1B1B1B"/>
          <w:sz w:val="27"/>
          <w:szCs w:val="27"/>
        </w:rPr>
      </w:pPr>
      <w:r>
        <w:rPr>
          <w:color w:val="1B1B1B"/>
          <w:sz w:val="27"/>
          <w:szCs w:val="27"/>
        </w:rPr>
        <w:t xml:space="preserve">But now that she’s no longer speaking to your aunt, she wants her to be removed from </w:t>
      </w:r>
      <w:proofErr w:type="gramStart"/>
      <w:r>
        <w:rPr>
          <w:color w:val="1B1B1B"/>
          <w:sz w:val="27"/>
          <w:szCs w:val="27"/>
        </w:rPr>
        <w:t>all of</w:t>
      </w:r>
      <w:proofErr w:type="gramEnd"/>
      <w:r>
        <w:rPr>
          <w:color w:val="1B1B1B"/>
          <w:sz w:val="27"/>
          <w:szCs w:val="27"/>
        </w:rPr>
        <w:t xml:space="preserve"> her financial accounts. That is understandable and should be a quick, easy change.</w:t>
      </w:r>
    </w:p>
    <w:p w14:paraId="00000012" w14:textId="77777777" w:rsidR="00AB6FA7" w:rsidRDefault="00000000">
      <w:pPr>
        <w:spacing w:before="280" w:after="280"/>
        <w:rPr>
          <w:color w:val="1B1B1B"/>
          <w:sz w:val="27"/>
          <w:szCs w:val="27"/>
        </w:rPr>
      </w:pPr>
      <w:r>
        <w:rPr>
          <w:color w:val="1B1B1B"/>
          <w:sz w:val="27"/>
          <w:szCs w:val="27"/>
        </w:rPr>
        <w:t xml:space="preserve">A “deed of revocation” is a formal document that a donor, in this case your grandmother, can use to remove an attorney. Despite its formal legal status, it is relatively simple to do, and the correct wording is </w:t>
      </w:r>
      <w:hyperlink r:id="rId5">
        <w:r>
          <w:rPr>
            <w:color w:val="416ED2"/>
            <w:sz w:val="27"/>
            <w:szCs w:val="27"/>
          </w:rPr>
          <w:t>available on the Government’s website</w:t>
        </w:r>
      </w:hyperlink>
      <w:r>
        <w:rPr>
          <w:color w:val="1B1B1B"/>
          <w:sz w:val="27"/>
          <w:szCs w:val="27"/>
        </w:rPr>
        <w:t>.</w:t>
      </w:r>
    </w:p>
    <w:p w14:paraId="00000014" w14:textId="77777777" w:rsidR="00AB6FA7" w:rsidRDefault="00000000">
      <w:pPr>
        <w:spacing w:before="280" w:after="280"/>
        <w:rPr>
          <w:color w:val="1B1B1B"/>
          <w:sz w:val="27"/>
          <w:szCs w:val="27"/>
        </w:rPr>
      </w:pPr>
      <w:r>
        <w:rPr>
          <w:color w:val="1B1B1B"/>
          <w:sz w:val="27"/>
          <w:szCs w:val="27"/>
        </w:rPr>
        <w:t>Your family has had an acknowledgement from the Office of the Public Guardian, so you know the change has been registered correctly.</w:t>
      </w:r>
    </w:p>
    <w:p w14:paraId="00000015" w14:textId="77777777" w:rsidR="00AB6FA7" w:rsidRDefault="00000000">
      <w:pPr>
        <w:spacing w:before="280" w:after="280"/>
        <w:rPr>
          <w:color w:val="1B1B1B"/>
          <w:sz w:val="27"/>
          <w:szCs w:val="27"/>
        </w:rPr>
      </w:pPr>
      <w:r>
        <w:rPr>
          <w:color w:val="1B1B1B"/>
          <w:sz w:val="27"/>
          <w:szCs w:val="27"/>
        </w:rPr>
        <w:t>Legal boxes ticked, you informed Barclays that your aunt should no longer have access to your grandmother’s bank account.</w:t>
      </w:r>
    </w:p>
    <w:p w14:paraId="00000016" w14:textId="77777777" w:rsidR="00AB6FA7" w:rsidRDefault="00000000">
      <w:pPr>
        <w:spacing w:before="280" w:after="280"/>
        <w:rPr>
          <w:color w:val="1B1B1B"/>
          <w:sz w:val="27"/>
          <w:szCs w:val="27"/>
        </w:rPr>
      </w:pPr>
      <w:r>
        <w:rPr>
          <w:color w:val="1B1B1B"/>
          <w:sz w:val="27"/>
          <w:szCs w:val="27"/>
        </w:rPr>
        <w:lastRenderedPageBreak/>
        <w:t>What followed was a months-long delay, during which time you believed her access had been revoked, but it had not been. This has clearly caused additional stress for both your mother and grandmother.</w:t>
      </w:r>
    </w:p>
    <w:p w14:paraId="00000017" w14:textId="77777777" w:rsidR="00AB6FA7" w:rsidRDefault="00000000">
      <w:pPr>
        <w:spacing w:before="280" w:after="280"/>
        <w:rPr>
          <w:color w:val="1B1B1B"/>
          <w:sz w:val="27"/>
          <w:szCs w:val="27"/>
        </w:rPr>
      </w:pPr>
      <w:r>
        <w:rPr>
          <w:color w:val="1B1B1B"/>
          <w:sz w:val="27"/>
          <w:szCs w:val="27"/>
        </w:rPr>
        <w:t>This is a failure by Barclays to provide the required documentation. In my eyes, this was an easy fix – they just needed to process what you had already provided.</w:t>
      </w:r>
    </w:p>
    <w:p w14:paraId="00000018" w14:textId="77777777" w:rsidR="00AB6FA7" w:rsidRDefault="00000000">
      <w:pPr>
        <w:spacing w:before="280" w:after="280"/>
        <w:rPr>
          <w:color w:val="1B1B1B"/>
          <w:sz w:val="27"/>
          <w:szCs w:val="27"/>
        </w:rPr>
      </w:pPr>
      <w:r>
        <w:rPr>
          <w:color w:val="1B1B1B"/>
          <w:sz w:val="27"/>
          <w:szCs w:val="27"/>
        </w:rPr>
        <w:t>To confirm this was done, I contacted Barclays, and a spokesman replied: “We are extremely sorry that an error meant our customer was not informed of the outstanding documentation required to update their power of attorney.</w:t>
      </w:r>
    </w:p>
    <w:p w14:paraId="00000019" w14:textId="77777777" w:rsidR="00AB6FA7" w:rsidRDefault="00000000">
      <w:pPr>
        <w:spacing w:before="280" w:after="280"/>
        <w:rPr>
          <w:color w:val="1B1B1B"/>
          <w:sz w:val="27"/>
          <w:szCs w:val="27"/>
        </w:rPr>
      </w:pPr>
      <w:r>
        <w:rPr>
          <w:color w:val="1B1B1B"/>
          <w:sz w:val="27"/>
          <w:szCs w:val="27"/>
        </w:rPr>
        <w:t>“We apologise for the distress this caused and have since completed the requested changes.”</w:t>
      </w:r>
    </w:p>
    <w:p w14:paraId="0000001A" w14:textId="77777777" w:rsidR="00AB6FA7" w:rsidRDefault="00000000">
      <w:pPr>
        <w:spacing w:before="280" w:after="280"/>
        <w:rPr>
          <w:color w:val="1B1B1B"/>
          <w:sz w:val="27"/>
          <w:szCs w:val="27"/>
        </w:rPr>
      </w:pPr>
      <w:r>
        <w:rPr>
          <w:color w:val="1B1B1B"/>
          <w:sz w:val="27"/>
          <w:szCs w:val="27"/>
        </w:rPr>
        <w:t>The bank also paid your grandmother £200 in compensation for the error.</w:t>
      </w:r>
    </w:p>
    <w:p w14:paraId="0000001B" w14:textId="77777777" w:rsidR="00AB6FA7" w:rsidRDefault="00AB6FA7"/>
    <w:sectPr w:rsidR="00AB6FA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08F46DB-2CDE-5A4C-9DF9-FEEADEDB93F3}"/>
    <w:embedBold r:id="rId2" w:fontKey="{E602FB44-4135-A843-B28B-6E324C2E1AC2}"/>
    <w:embedItalic r:id="rId3" w:fontKey="{35E2B135-1F9F-2D49-A513-09035BADD8A3}"/>
  </w:font>
  <w:font w:name="Times New Roman">
    <w:panose1 w:val="02020603050405020304"/>
    <w:charset w:val="00"/>
    <w:family w:val="roman"/>
    <w:pitch w:val="variable"/>
    <w:sig w:usb0="E0002EFF" w:usb1="C000785B" w:usb2="00000009" w:usb3="00000000" w:csb0="000001FF" w:csb1="00000000"/>
    <w:embedRegular r:id="rId4" w:fontKey="{6DCF7128-DB32-5D41-A610-D8B1DC6A36B9}"/>
  </w:font>
  <w:font w:name="Calibri">
    <w:panose1 w:val="020F0502020204030204"/>
    <w:charset w:val="00"/>
    <w:family w:val="swiss"/>
    <w:pitch w:val="variable"/>
    <w:sig w:usb0="E4002EFF" w:usb1="C200247B" w:usb2="00000009" w:usb3="00000000" w:csb0="000001FF" w:csb1="00000000"/>
    <w:embedRegular r:id="rId5" w:fontKey="{CF7CEAA3-E1D4-B948-BBEB-46515A054A5C}"/>
  </w:font>
  <w:font w:name="Cambria">
    <w:panose1 w:val="02040503050406030204"/>
    <w:charset w:val="00"/>
    <w:family w:val="roman"/>
    <w:pitch w:val="variable"/>
    <w:sig w:usb0="E00006FF" w:usb1="420024FF" w:usb2="02000000" w:usb3="00000000" w:csb0="0000019F" w:csb1="00000000"/>
    <w:embedRegular r:id="rId6" w:fontKey="{8D3F19B7-3EF7-6D44-BFC6-94F2F871231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A7"/>
    <w:rsid w:val="00AB6FA7"/>
    <w:rsid w:val="00C00759"/>
    <w:rsid w:val="00CF2B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157768D"/>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ov.uk/power-of-attorney/change-your-lasting-power-of-attorney" TargetMode="External"/><Relationship Id="rId4" Type="http://schemas.openxmlformats.org/officeDocument/2006/relationships/hyperlink" Target="https://www.telegraph.co.uk/money/consumer-affairs/why-you-need-lasting-power-of-attorney/"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2026-05-11T11:20:00Z</dcterms:created>
  <dcterms:modified xsi:type="dcterms:W3CDTF">2026-05-11T11:20:00Z</dcterms:modified>
</cp:coreProperties>
</file>