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Rule="auto"/>
        <w:rPr>
          <w:b w:val="1"/>
          <w:bCs w:val="1"/>
          <w:sz w:val="48"/>
          <w:szCs w:val="48"/>
        </w:rPr>
      </w:pPr>
      <w:bookmarkStart w:colFirst="0" w:colLast="0" w:name="_qhhyafbv1q39" w:id="0"/>
      <w:bookmarkEnd w:id="0"/>
      <w:r w:rsidDel="00000000" w:rsidR="00000000" w:rsidRPr="00000000">
        <w:rPr>
          <w:b w:val="1"/>
          <w:bCs w:val="1"/>
          <w:sz w:val="48"/>
          <w:szCs w:val="48"/>
          <w:rtl w:val="0"/>
        </w:rPr>
        <w:t xml:space="preserve">Barclays UK delivers £34.3bn in gross mortgage lending as completions reach four-year high </w:t>
      </w:r>
    </w:p>
    <w:p w:rsidR="00000000" w:rsidDel="00000000" w:rsidP="00000000" w:rsidRDefault="00000000" w:rsidRPr="00000000" w14:paraId="00000002">
      <w:pPr>
        <w:rPr>
          <w:b w:val="1"/>
          <w:bCs w:val="1"/>
          <w:sz w:val="48"/>
          <w:szCs w:val="48"/>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b w:val="1"/>
          <w:bCs w:val="1"/>
          <w:sz w:val="24"/>
          <w:szCs w:val="24"/>
        </w:rPr>
      </w:pPr>
      <w:r w:rsidDel="00000000" w:rsidR="00000000" w:rsidRPr="00000000">
        <w:rPr>
          <w:b w:val="1"/>
          <w:bCs w:val="1"/>
          <w:sz w:val="24"/>
          <w:szCs w:val="24"/>
          <w:rtl w:val="0"/>
        </w:rPr>
        <w:t xml:space="preserve">Barclays UK issued £34.3bn in gross mortgage lending in 2025, up from a figure of £23.9bn the year before. </w:t>
      </w:r>
    </w:p>
    <w:p w:rsidR="00000000" w:rsidDel="00000000" w:rsidP="00000000" w:rsidRDefault="00000000" w:rsidRPr="00000000" w14:paraId="00000005">
      <w:pPr>
        <w:rPr>
          <w:b w:val="1"/>
          <w:bCs w:val="1"/>
          <w:sz w:val="24"/>
          <w:szCs w:val="24"/>
        </w:rPr>
      </w:pPr>
      <w:r w:rsidDel="00000000" w:rsidR="00000000" w:rsidRPr="00000000">
        <w:rPr>
          <w:rtl w:val="0"/>
        </w:rPr>
      </w:r>
    </w:p>
    <w:p w:rsidR="00000000" w:rsidDel="00000000" w:rsidP="00000000" w:rsidRDefault="00000000" w:rsidRPr="00000000" w14:paraId="00000006">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4"/>
          <w:szCs w:val="24"/>
        </w:rPr>
      </w:pPr>
      <w:r w:rsidDel="00000000" w:rsidR="00000000" w:rsidRPr="00000000">
        <w:rPr>
          <w:rFonts w:ascii="Lora" w:cs="Lora" w:eastAsia="Lora" w:hAnsi="Lora"/>
          <w:sz w:val="24"/>
          <w:szCs w:val="24"/>
          <w:rtl w:val="0"/>
        </w:rPr>
        <w:t xml:space="preserve">It said this growth was in line with its strategy and a larger mortgage market. </w:t>
      </w:r>
    </w:p>
    <w:p w:rsidR="00000000" w:rsidDel="00000000" w:rsidP="00000000" w:rsidRDefault="00000000" w:rsidRPr="00000000" w14:paraId="00000007">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4"/>
          <w:szCs w:val="24"/>
        </w:rPr>
      </w:pPr>
      <w:r w:rsidDel="00000000" w:rsidR="00000000" w:rsidRPr="00000000">
        <w:rPr>
          <w:rFonts w:ascii="Lora" w:cs="Lora" w:eastAsia="Lora" w:hAnsi="Lora"/>
          <w:sz w:val="24"/>
          <w:szCs w:val="24"/>
          <w:rtl w:val="0"/>
        </w:rPr>
        <w:t xml:space="preserve">The bank said the number of mortgage applications submitted was higher than in any other prior year. Barclays UK supported 146,000 mortgage completions, the highest since 2021 and a 42% rise on the year before. </w:t>
      </w:r>
    </w:p>
    <w:p w:rsidR="00000000" w:rsidDel="00000000" w:rsidP="00000000" w:rsidRDefault="00000000" w:rsidRPr="00000000" w14:paraId="00000008">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4"/>
          <w:szCs w:val="24"/>
        </w:rPr>
      </w:pPr>
      <w:r w:rsidDel="00000000" w:rsidR="00000000" w:rsidRPr="00000000">
        <w:rPr>
          <w:rFonts w:ascii="Lora" w:cs="Lora" w:eastAsia="Lora" w:hAnsi="Lora"/>
          <w:sz w:val="24"/>
          <w:szCs w:val="24"/>
          <w:rtl w:val="0"/>
        </w:rPr>
        <w:t xml:space="preserve">This included £9.3bn in gross mortgage lending in the last quarter of the year, a notable increase from the £8.1bn completed during the same period in 2024. </w:t>
      </w:r>
    </w:p>
    <w:p w:rsidR="00000000" w:rsidDel="00000000" w:rsidP="00000000" w:rsidRDefault="00000000" w:rsidRPr="00000000" w14:paraId="00000009">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4"/>
          <w:szCs w:val="24"/>
        </w:rPr>
      </w:pPr>
      <w:r w:rsidDel="00000000" w:rsidR="00000000" w:rsidRPr="00000000">
        <w:rPr>
          <w:rFonts w:ascii="Lora" w:cs="Lora" w:eastAsia="Lora" w:hAnsi="Lora"/>
          <w:sz w:val="24"/>
          <w:szCs w:val="24"/>
          <w:rtl w:val="0"/>
        </w:rPr>
        <w:t xml:space="preserve">In 2025, Barclays supported 50,000 first-time buyers. </w:t>
      </w:r>
    </w:p>
    <w:p w:rsidR="00000000" w:rsidDel="00000000" w:rsidP="00000000" w:rsidRDefault="00000000" w:rsidRPr="00000000" w14:paraId="0000000A">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4"/>
          <w:szCs w:val="24"/>
        </w:rPr>
      </w:pPr>
      <w:r w:rsidDel="00000000" w:rsidR="00000000" w:rsidRPr="00000000">
        <w:rPr>
          <w:rFonts w:ascii="Lora" w:cs="Lora" w:eastAsia="Lora" w:hAnsi="Lora"/>
          <w:sz w:val="24"/>
          <w:szCs w:val="24"/>
          <w:rtl w:val="0"/>
        </w:rPr>
        <w:t xml:space="preserve">Barclays said its mortgage balances had increased for sixth consecutive quarters, closing the year at a total value of £172.4bn, up from £163.1bn at the end of 2024. </w:t>
      </w:r>
    </w:p>
    <w:p w:rsidR="00000000" w:rsidDel="00000000" w:rsidP="00000000" w:rsidRDefault="00000000" w:rsidRPr="00000000" w14:paraId="0000000B">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4"/>
          <w:szCs w:val="24"/>
        </w:rPr>
      </w:pPr>
      <w:r w:rsidDel="00000000" w:rsidR="00000000" w:rsidRPr="00000000">
        <w:rPr>
          <w:rFonts w:ascii="Lora" w:cs="Lora" w:eastAsia="Lora" w:hAnsi="Lora"/>
          <w:sz w:val="24"/>
          <w:szCs w:val="24"/>
          <w:rtl w:val="0"/>
        </w:rPr>
        <w:t xml:space="preserve">Around a tenth of mortgage loans were buy to let (BTL), and as of Q4, 0.1% of all mortgage accounts were in arrears of up to three months. </w:t>
      </w:r>
    </w:p>
    <w:p w:rsidR="00000000" w:rsidDel="00000000" w:rsidP="00000000" w:rsidRDefault="00000000" w:rsidRPr="00000000" w14:paraId="0000000C">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4"/>
          <w:szCs w:val="24"/>
        </w:rPr>
      </w:pPr>
      <w:r w:rsidDel="00000000" w:rsidR="00000000" w:rsidRPr="00000000">
        <w:rPr>
          <w:rFonts w:ascii="Lora" w:cs="Lora" w:eastAsia="Lora" w:hAnsi="Lora"/>
          <w:sz w:val="24"/>
          <w:szCs w:val="24"/>
          <w:rtl w:val="0"/>
        </w:rPr>
        <w:t xml:space="preserve">The average loan to value (LTV) of its mortgage portfolio was 55%, similar to the average LTV of 53% previously. The average LTV of new mortgage lending rose from 66% to 70%. </w:t>
      </w:r>
    </w:p>
    <w:p w:rsidR="00000000" w:rsidDel="00000000" w:rsidP="00000000" w:rsidRDefault="00000000" w:rsidRPr="00000000" w14:paraId="0000000D">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4"/>
          <w:szCs w:val="24"/>
        </w:rPr>
      </w:pPr>
      <w:r w:rsidDel="00000000" w:rsidR="00000000" w:rsidRPr="00000000">
        <w:rPr>
          <w:rFonts w:ascii="Lora" w:cs="Lora" w:eastAsia="Lora" w:hAnsi="Lora"/>
          <w:sz w:val="24"/>
          <w:szCs w:val="24"/>
          <w:rtl w:val="0"/>
        </w:rPr>
        <w:t xml:space="preserve"> </w:t>
      </w:r>
    </w:p>
    <w:p w:rsidR="00000000" w:rsidDel="00000000" w:rsidP="00000000" w:rsidRDefault="00000000" w:rsidRPr="00000000" w14:paraId="0000000E">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Rule="auto"/>
        <w:rPr>
          <w:b w:val="1"/>
          <w:bCs w:val="1"/>
          <w:color w:val="000000"/>
        </w:rPr>
      </w:pPr>
      <w:bookmarkStart w:colFirst="0" w:colLast="0" w:name="_wmvxqg9gfa1q" w:id="1"/>
      <w:bookmarkEnd w:id="1"/>
      <w:r w:rsidDel="00000000" w:rsidR="00000000" w:rsidRPr="00000000">
        <w:rPr>
          <w:b w:val="1"/>
          <w:bCs w:val="1"/>
          <w:color w:val="000000"/>
          <w:rtl w:val="0"/>
        </w:rPr>
        <w:t xml:space="preserve">Plans to grow </w:t>
      </w:r>
    </w:p>
    <w:p w:rsidR="00000000" w:rsidDel="00000000" w:rsidP="00000000" w:rsidRDefault="00000000" w:rsidRPr="00000000" w14:paraId="0000000F">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4"/>
          <w:szCs w:val="24"/>
        </w:rPr>
      </w:pPr>
      <w:r w:rsidDel="00000000" w:rsidR="00000000" w:rsidRPr="00000000">
        <w:rPr>
          <w:rFonts w:ascii="Lora" w:cs="Lora" w:eastAsia="Lora" w:hAnsi="Lora"/>
          <w:sz w:val="24"/>
          <w:szCs w:val="24"/>
          <w:rtl w:val="0"/>
        </w:rPr>
        <w:t xml:space="preserve">Barclays said a key part of its three-year plan was to grow its mortgage lending, adding that technology would support this goal. </w:t>
      </w:r>
    </w:p>
    <w:p w:rsidR="00000000" w:rsidDel="00000000" w:rsidP="00000000" w:rsidRDefault="00000000" w:rsidRPr="00000000" w14:paraId="00000010">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4"/>
          <w:szCs w:val="24"/>
        </w:rPr>
      </w:pPr>
      <w:r w:rsidDel="00000000" w:rsidR="00000000" w:rsidRPr="00000000">
        <w:rPr>
          <w:rFonts w:ascii="Lora" w:cs="Lora" w:eastAsia="Lora" w:hAnsi="Lora"/>
          <w:sz w:val="24"/>
          <w:szCs w:val="24"/>
          <w:rtl w:val="0"/>
        </w:rPr>
        <w:t xml:space="preserve">In 2025, the bank launched a new platform to over 26,000 mortgage brokers, which helped to reduce application processing times from around 45 minutes to 15. </w:t>
      </w:r>
    </w:p>
    <w:p w:rsidR="00000000" w:rsidDel="00000000" w:rsidP="00000000" w:rsidRDefault="00000000" w:rsidRPr="00000000" w14:paraId="00000011">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4"/>
          <w:szCs w:val="24"/>
        </w:rPr>
      </w:pPr>
      <w:r w:rsidDel="00000000" w:rsidR="00000000" w:rsidRPr="00000000">
        <w:rPr>
          <w:rFonts w:ascii="Lora" w:cs="Lora" w:eastAsia="Lora" w:hAnsi="Lora"/>
          <w:sz w:val="24"/>
          <w:szCs w:val="24"/>
          <w:rtl w:val="0"/>
        </w:rPr>
        <w:t xml:space="preserve">Barclays said that since August, this enhanced process helped around 23,000 borrowers complete their mortgages faster, and saw an eight-point increase in the mortgage broker net promoter score (NPS) to 55. </w:t>
      </w:r>
    </w:p>
    <w:p w:rsidR="00000000" w:rsidDel="00000000" w:rsidP="00000000" w:rsidRDefault="00000000" w:rsidRPr="00000000" w14:paraId="00000012">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4"/>
          <w:szCs w:val="24"/>
        </w:rPr>
      </w:pPr>
      <w:r w:rsidDel="00000000" w:rsidR="00000000" w:rsidRPr="00000000">
        <w:rPr>
          <w:rFonts w:ascii="Lora" w:cs="Lora" w:eastAsia="Lora" w:hAnsi="Lora"/>
          <w:sz w:val="24"/>
          <w:szCs w:val="24"/>
          <w:rtl w:val="0"/>
        </w:rPr>
        <w:t xml:space="preserve">Around £60m has been invested into the platform over three years and it facilitated £14.4bn in mortgage applications. </w:t>
      </w:r>
    </w:p>
    <w:p w:rsidR="00000000" w:rsidDel="00000000" w:rsidP="00000000" w:rsidRDefault="00000000" w:rsidRPr="00000000" w14:paraId="00000013">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4"/>
          <w:szCs w:val="24"/>
        </w:rPr>
      </w:pPr>
      <w:r w:rsidDel="00000000" w:rsidR="00000000" w:rsidRPr="00000000">
        <w:rPr>
          <w:rFonts w:ascii="Lora" w:cs="Lora" w:eastAsia="Lora" w:hAnsi="Lora"/>
          <w:sz w:val="24"/>
          <w:szCs w:val="24"/>
          <w:rtl w:val="0"/>
        </w:rPr>
        <w:t xml:space="preserve">The bank said Kensington Mortgages, which it </w:t>
      </w:r>
      <w:hyperlink r:id="rId6">
        <w:r w:rsidDel="00000000" w:rsidR="00000000" w:rsidRPr="00000000">
          <w:rPr>
            <w:rFonts w:ascii="Lora" w:cs="Lora" w:eastAsia="Lora" w:hAnsi="Lora"/>
            <w:b w:val="1"/>
            <w:bCs w:val="1"/>
            <w:color w:val="1155cc"/>
            <w:sz w:val="24"/>
            <w:szCs w:val="24"/>
            <w:u w:val="single"/>
            <w:rtl w:val="0"/>
          </w:rPr>
          <w:t xml:space="preserve">acquired in 2023</w:t>
        </w:r>
      </w:hyperlink>
      <w:r w:rsidDel="00000000" w:rsidR="00000000" w:rsidRPr="00000000">
        <w:rPr>
          <w:rFonts w:ascii="Lora" w:cs="Lora" w:eastAsia="Lora" w:hAnsi="Lora"/>
          <w:sz w:val="24"/>
          <w:szCs w:val="24"/>
          <w:rtl w:val="0"/>
        </w:rPr>
        <w:t xml:space="preserve">, was helping it to reach new customer segments and diversify. It also leveraged the specialist lender’s knowledge of securitisation markets and supported Barclays’ ability to lend to high-yield, low-risk borrowers with complex incomes.</w:t>
      </w:r>
    </w:p>
    <w:p w:rsidR="00000000" w:rsidDel="00000000" w:rsidP="00000000" w:rsidRDefault="00000000" w:rsidRPr="00000000" w14:paraId="00000014">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4"/>
          <w:szCs w:val="24"/>
        </w:rPr>
      </w:pPr>
      <w:r w:rsidDel="00000000" w:rsidR="00000000" w:rsidRPr="00000000">
        <w:rPr>
          <w:rFonts w:ascii="Lora" w:cs="Lora" w:eastAsia="Lora" w:hAnsi="Lora"/>
          <w:sz w:val="24"/>
          <w:szCs w:val="24"/>
          <w:rtl w:val="0"/>
        </w:rPr>
        <w:t xml:space="preserve">Since being acquired by Barclays, Kensington Mortgages’ balances have doubled. </w:t>
      </w:r>
    </w:p>
    <w:p w:rsidR="00000000" w:rsidDel="00000000" w:rsidP="00000000" w:rsidRDefault="00000000" w:rsidRPr="00000000" w14:paraId="00000015">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4"/>
          <w:szCs w:val="24"/>
        </w:rPr>
      </w:pPr>
      <w:r w:rsidDel="00000000" w:rsidR="00000000" w:rsidRPr="00000000">
        <w:rPr>
          <w:rFonts w:ascii="Lora" w:cs="Lora" w:eastAsia="Lora" w:hAnsi="Lora"/>
          <w:sz w:val="24"/>
          <w:szCs w:val="24"/>
          <w:rtl w:val="0"/>
        </w:rPr>
        <w:t xml:space="preserve">The bank’s profit before tax decreased slightly from £3.6bn to £3.4bn. </w:t>
      </w:r>
    </w:p>
    <w:p w:rsidR="00000000" w:rsidDel="00000000" w:rsidP="00000000" w:rsidRDefault="00000000" w:rsidRPr="00000000" w14:paraId="00000016">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4"/>
          <w:szCs w:val="24"/>
        </w:rPr>
      </w:pPr>
      <w:r w:rsidDel="00000000" w:rsidR="00000000" w:rsidRPr="00000000">
        <w:rPr>
          <w:rFonts w:ascii="Lora" w:cs="Lora" w:eastAsia="Lora" w:hAnsi="Lora"/>
          <w:sz w:val="24"/>
          <w:szCs w:val="24"/>
          <w:rtl w:val="0"/>
        </w:rPr>
        <w:t xml:space="preserve">Roland McCormack, </w:t>
      </w:r>
      <w:hyperlink r:id="rId7">
        <w:r w:rsidDel="00000000" w:rsidR="00000000" w:rsidRPr="00000000">
          <w:rPr>
            <w:rFonts w:ascii="Lora" w:cs="Lora" w:eastAsia="Lora" w:hAnsi="Lora"/>
            <w:b w:val="1"/>
            <w:bCs w:val="1"/>
            <w:color w:val="1155cc"/>
            <w:sz w:val="24"/>
            <w:szCs w:val="24"/>
            <w:u w:val="single"/>
            <w:rtl w:val="0"/>
          </w:rPr>
          <w:t xml:space="preserve">head of intermediaries at Barclays UK</w:t>
        </w:r>
      </w:hyperlink>
      <w:r w:rsidDel="00000000" w:rsidR="00000000" w:rsidRPr="00000000">
        <w:rPr>
          <w:rFonts w:ascii="Lora" w:cs="Lora" w:eastAsia="Lora" w:hAnsi="Lora"/>
          <w:sz w:val="24"/>
          <w:szCs w:val="24"/>
          <w:rtl w:val="0"/>
        </w:rPr>
        <w:t xml:space="preserve">, said: “We are committed to becoming the number one lender of choice for brokers. Last year saw us make significant enhancements to how we work alongside intermediaries, and our broker partners have played a significant role in delivering a sixth consecutive quarter of growth in Barclays’ mortgage lending. </w:t>
      </w:r>
    </w:p>
    <w:p w:rsidR="00000000" w:rsidDel="00000000" w:rsidP="00000000" w:rsidRDefault="00000000" w:rsidRPr="00000000" w14:paraId="00000017">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4"/>
          <w:szCs w:val="24"/>
        </w:rPr>
      </w:pPr>
      <w:r w:rsidDel="00000000" w:rsidR="00000000" w:rsidRPr="00000000">
        <w:rPr>
          <w:rFonts w:ascii="Lora" w:cs="Lora" w:eastAsia="Lora" w:hAnsi="Lora"/>
          <w:sz w:val="24"/>
          <w:szCs w:val="24"/>
          <w:rtl w:val="0"/>
        </w:rPr>
        <w:t xml:space="preserve">“We will continue to listen, learn and deliver for this group and are excited for what’s to come.” </w:t>
      </w:r>
    </w:p>
    <w:p w:rsidR="00000000" w:rsidDel="00000000" w:rsidP="00000000" w:rsidRDefault="00000000" w:rsidRPr="00000000" w14:paraId="00000018">
      <w:pPr>
        <w:rPr/>
      </w:pPr>
      <w:r w:rsidDel="00000000" w:rsidR="00000000" w:rsidRPr="00000000">
        <w:rPr>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mortgagesolutions.co.uk/news/2023/03/01/barclays-completes-acquisition-of-kensington-mortgages/" TargetMode="External"/><Relationship Id="rId7" Type="http://schemas.openxmlformats.org/officeDocument/2006/relationships/hyperlink" Target="https://www.mortgagesolutions.co.uk/news/2025/06/25/barclays-appoints-mccormack-as-head-of-mortgage-intermediari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