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4600" w14:textId="77777777" w:rsidR="00052EC1" w:rsidRPr="00C67DD5" w:rsidRDefault="00052EC1" w:rsidP="00052EC1">
      <w:pPr>
        <w:rPr>
          <w:b/>
          <w:bCs/>
        </w:rPr>
      </w:pPr>
      <w:r w:rsidRPr="00C67DD5">
        <w:rPr>
          <w:b/>
          <w:bCs/>
        </w:rPr>
        <w:t>Are there good reasons to invest in Aviva?</w:t>
      </w:r>
    </w:p>
    <w:p w14:paraId="1CE31C15" w14:textId="77777777" w:rsidR="00052EC1" w:rsidRPr="00052EC1" w:rsidRDefault="00052EC1" w:rsidP="00052EC1">
      <w:r w:rsidRPr="00052EC1">
        <w:t>Chief executive Dame Amanda Blanc says the outlook for the insurer has never been better. Do the numbers back up her confidence?</w:t>
      </w:r>
    </w:p>
    <w:p w14:paraId="342E2515" w14:textId="77777777" w:rsidR="00FE7368" w:rsidRDefault="00FE7368"/>
    <w:p w14:paraId="4F529A77" w14:textId="77777777" w:rsidR="00C67DD5" w:rsidRPr="00C67DD5" w:rsidRDefault="00C67DD5" w:rsidP="00C67DD5">
      <w:r w:rsidRPr="00C67DD5">
        <w:t>Dame Amanda Blanc declared that “the outlook for Aviva has never been better” last week when she reported third-quarter figures and set out new three-year targets for the FTSE 100 insurer. Is she right and if so, is this optimism reflected in the company’s valuation?</w:t>
      </w:r>
    </w:p>
    <w:p w14:paraId="2EFCA591" w14:textId="77777777" w:rsidR="00C67DD5" w:rsidRPr="00C67DD5" w:rsidRDefault="00C67DD5" w:rsidP="00C67DD5">
      <w:r w:rsidRPr="00C67DD5">
        <w:t>Thrust into the top job in July 2020 after a short stint as a non-executive on its board, the insurance industry veteran has already spearheaded a turnaround at Aviva that has earned plaudits in the City. </w:t>
      </w:r>
    </w:p>
    <w:p w14:paraId="2D687974" w14:textId="77777777" w:rsidR="00C67DD5" w:rsidRPr="00C67DD5" w:rsidRDefault="00C67DD5" w:rsidP="00C67DD5">
      <w:r w:rsidRPr="00C67DD5">
        <w:t>Aviva was at a low ebb when she took charge, with investors frustrated by its lacklustre stock market returns under a succession of bosses. Blanc quickly took action to address these concerns by selling a string of non-core businesses overseas, including Aviva’s operations in France, Italy, Turkey, Poland, Vietnam and Singapore, a reshaping of the group that generated proceeds of more than £8 billion.</w:t>
      </w:r>
    </w:p>
    <w:p w14:paraId="44D98D7A" w14:textId="77777777" w:rsidR="00C67DD5" w:rsidRDefault="00C67DD5"/>
    <w:p w14:paraId="5D3877FA" w14:textId="77777777" w:rsidR="00C67DD5" w:rsidRPr="00C67DD5" w:rsidRDefault="00C67DD5" w:rsidP="00C67DD5">
      <w:r w:rsidRPr="00C67DD5">
        <w:t>This not only streamlined the insurer by refocusing it on its core markets of the UK, Ireland and Canada, it enabled Blanc to step up </w:t>
      </w:r>
      <w:hyperlink r:id="rId4" w:history="1">
        <w:r w:rsidRPr="00C67DD5">
          <w:rPr>
            <w:rStyle w:val="Hyperlink"/>
          </w:rPr>
          <w:t>capital returns</w:t>
        </w:r>
      </w:hyperlink>
      <w:r w:rsidRPr="00C67DD5">
        <w:t> to shareholders, with more than £10 billion handed back over the past five years. </w:t>
      </w:r>
    </w:p>
    <w:p w14:paraId="5A5F9DB7" w14:textId="77777777" w:rsidR="00C67DD5" w:rsidRPr="00C67DD5" w:rsidRDefault="00C67DD5" w:rsidP="00C67DD5">
      <w:r w:rsidRPr="00C67DD5">
        <w:t>It was a pivot praised by Cevian, an activist investor which revealed in 2021 that it was a big shareholder in Aviva and sold out in 2023, when it praised Aviva for having been “transformed from a poorly performing conglomerate to a focused and well-performing insurance company”.</w:t>
      </w:r>
    </w:p>
    <w:p w14:paraId="09276CD2" w14:textId="77777777" w:rsidR="00C67DD5" w:rsidRDefault="00C67DD5"/>
    <w:p w14:paraId="0269B3A1" w14:textId="77777777" w:rsidR="00C67DD5" w:rsidRPr="00C67DD5" w:rsidRDefault="00C67DD5" w:rsidP="00C67DD5">
      <w:r w:rsidRPr="00C67DD5">
        <w:t>However, despite Blanc’s programme of disposals and capital returns, it has not simply been a strategy of retrenchment. There have been acquisitions too, including a £385 million deal in 2022 to buy Succession Wealth to expand Aviva’s presence in the wealth management market. </w:t>
      </w:r>
    </w:p>
    <w:p w14:paraId="2C1CD4BF" w14:textId="77777777" w:rsidR="00C67DD5" w:rsidRPr="00C67DD5" w:rsidRDefault="00C67DD5" w:rsidP="00C67DD5">
      <w:r w:rsidRPr="00C67DD5">
        <w:t xml:space="preserve">The following year Aviva spent £460 million on AIG’s UK protection business and £100 million on </w:t>
      </w:r>
      <w:proofErr w:type="spellStart"/>
      <w:r w:rsidRPr="00C67DD5">
        <w:t>Optiom</w:t>
      </w:r>
      <w:proofErr w:type="spellEnd"/>
      <w:r w:rsidRPr="00C67DD5">
        <w:t xml:space="preserve"> in Canada, while in March 2024 the company announced it was re-entering the Lloyd’s of London insurance market after 24 years through a </w:t>
      </w:r>
      <w:hyperlink r:id="rId5" w:history="1">
        <w:r w:rsidRPr="00C67DD5">
          <w:rPr>
            <w:rStyle w:val="Hyperlink"/>
          </w:rPr>
          <w:t xml:space="preserve">£242 million deal for </w:t>
        </w:r>
        <w:proofErr w:type="spellStart"/>
        <w:r w:rsidRPr="00C67DD5">
          <w:rPr>
            <w:rStyle w:val="Hyperlink"/>
          </w:rPr>
          <w:t>Probitas</w:t>
        </w:r>
        <w:proofErr w:type="spellEnd"/>
      </w:hyperlink>
      <w:r w:rsidRPr="00C67DD5">
        <w:t>.</w:t>
      </w:r>
    </w:p>
    <w:p w14:paraId="691A7223" w14:textId="77777777" w:rsidR="00C67DD5" w:rsidRPr="00C67DD5" w:rsidRDefault="00C67DD5" w:rsidP="00C67DD5">
      <w:proofErr w:type="gramStart"/>
      <w:r w:rsidRPr="00C67DD5">
        <w:t>All of</w:t>
      </w:r>
      <w:proofErr w:type="gramEnd"/>
      <w:r w:rsidRPr="00C67DD5">
        <w:t xml:space="preserve"> these deals enlarged Aviva’s capital-light operations, helping it to differentiate it from its more capital-heavy rival Legal &amp; General.</w:t>
      </w:r>
    </w:p>
    <w:p w14:paraId="369995E3" w14:textId="77777777" w:rsidR="00C67DD5" w:rsidRPr="00C67DD5" w:rsidRDefault="00C67DD5" w:rsidP="00C67DD5">
      <w:r w:rsidRPr="00C67DD5">
        <w:t>Then came Blanc’s biggest gamble yet, with Aviva’s £3.7 billion agreement last December to acquire </w:t>
      </w:r>
      <w:hyperlink r:id="rId6" w:history="1">
        <w:r w:rsidRPr="00C67DD5">
          <w:rPr>
            <w:rStyle w:val="Hyperlink"/>
          </w:rPr>
          <w:t>troubled rival Direct Line</w:t>
        </w:r>
      </w:hyperlink>
      <w:r w:rsidRPr="00C67DD5">
        <w:t>. A further expansion of its capital-light business, the takeover, which was finalised in July this year, makes Aviva Britain’s biggest motor insurer. </w:t>
      </w:r>
    </w:p>
    <w:p w14:paraId="3D17F1E4" w14:textId="77777777" w:rsidR="00C67DD5" w:rsidRPr="00C67DD5" w:rsidRDefault="00C67DD5" w:rsidP="00C67DD5">
      <w:r w:rsidRPr="00C67DD5">
        <w:t>Aviva had initially estimated it would save £125 million a year by eliminating duplicated roles, digitising Direct Line’s operations and making other cost cuts following the takeover. As was widely expected, however, it significantly increased its cost synergy estimate to £225 million in its trading update last week, when it also said it expected at least £500 million of capital synergies from the deal. </w:t>
      </w:r>
    </w:p>
    <w:p w14:paraId="5AA79C28" w14:textId="77777777" w:rsidR="00C67DD5" w:rsidRPr="00C67DD5" w:rsidRDefault="00C67DD5" w:rsidP="00C67DD5"/>
    <w:p w14:paraId="30D81BC9" w14:textId="77777777" w:rsidR="00C67DD5" w:rsidRPr="00C67DD5" w:rsidRDefault="00C67DD5" w:rsidP="00C67DD5">
      <w:r w:rsidRPr="00C67DD5">
        <w:t>There was other good news. Blanc had been aiming to deliver £2 billion of operating profit in 2026 but Aviva said it would hit this target a year early, with the group expecting to generate £2.2 billion in 2025. Even stripping out the contribution made by Direct Line this year, Aviva’s operating profits are still forecast to surpass £2 billion. </w:t>
      </w:r>
    </w:p>
    <w:p w14:paraId="6DAEC3CF" w14:textId="77777777" w:rsidR="00C67DD5" w:rsidRPr="00C67DD5" w:rsidRDefault="00C67DD5" w:rsidP="00C67DD5">
      <w:r w:rsidRPr="00C67DD5">
        <w:t>The insurer also set new goals for 2028, saying it was targeting a return on equity of more than 20 per cent and aiming to grow adjusted earnings at an average annual rate of 11 per cent over the next three years.</w:t>
      </w:r>
    </w:p>
    <w:p w14:paraId="4213C8A2" w14:textId="77777777" w:rsidR="00C67DD5" w:rsidRDefault="00C67DD5"/>
    <w:p w14:paraId="45F561F3" w14:textId="77777777" w:rsidR="00C67DD5" w:rsidRPr="00C67DD5" w:rsidRDefault="00C67DD5" w:rsidP="00C67DD5">
      <w:r w:rsidRPr="00C67DD5">
        <w:t>The turnaround Blanc has already achieved has powered Aviva’s share price higher. Its stock closed on Wednesday evening at 632p, up 134 per cent since she was appointed, although it has dipped in recent days amid some disappointment with its third-quarter numbers.</w:t>
      </w:r>
    </w:p>
    <w:p w14:paraId="71BB91D3" w14:textId="77777777" w:rsidR="00C67DD5" w:rsidRPr="00C67DD5" w:rsidRDefault="00C67DD5" w:rsidP="00C67DD5">
      <w:r w:rsidRPr="00C67DD5">
        <w:lastRenderedPageBreak/>
        <w:t xml:space="preserve">L&amp;G has the higher dividend yield of 9.3 per cent, compared with 6.2 per cent for Aviva, but being close to </w:t>
      </w:r>
      <w:proofErr w:type="gramStart"/>
      <w:r w:rsidRPr="00C67DD5">
        <w:t>double-digits</w:t>
      </w:r>
      <w:proofErr w:type="gramEnd"/>
      <w:r w:rsidRPr="00C67DD5">
        <w:t xml:space="preserve"> suggests investors have questions about the sustainability of L&amp;G’s payout, amid nervousness about its big exposure to the gilt market.</w:t>
      </w:r>
    </w:p>
    <w:p w14:paraId="43D630BB" w14:textId="77777777" w:rsidR="00C67DD5" w:rsidRPr="00C67DD5" w:rsidRDefault="00C67DD5" w:rsidP="00C67DD5">
      <w:r w:rsidRPr="00C67DD5">
        <w:t>Yet with a forward price-earnings ratio of 10.9, Aviva only trades at a modest premium to L&amp;G, which is on 9.9, and at a discount to its international peers Allianz, on 11.9, and Zurich, on 14.5.</w:t>
      </w:r>
    </w:p>
    <w:p w14:paraId="0B185120" w14:textId="77777777" w:rsidR="00C67DD5" w:rsidRPr="00C67DD5" w:rsidRDefault="00C67DD5" w:rsidP="00C67DD5"/>
    <w:p w14:paraId="55473235" w14:textId="77777777" w:rsidR="00C67DD5" w:rsidRPr="00C67DD5" w:rsidRDefault="00C67DD5" w:rsidP="00C67DD5">
      <w:r w:rsidRPr="00C67DD5">
        <w:t xml:space="preserve">Under Blanc, who shows no signs of planning to move on, Aviva has consistently exceeded expectations, which should give </w:t>
      </w:r>
      <w:proofErr w:type="spellStart"/>
      <w:r w:rsidRPr="00C67DD5">
        <w:t>investors</w:t>
      </w:r>
      <w:proofErr w:type="spellEnd"/>
      <w:r w:rsidRPr="00C67DD5">
        <w:t xml:space="preserve"> confidence it can do the same again with its new targets. However, this is not yet reflected in its valuation.</w:t>
      </w:r>
    </w:p>
    <w:p w14:paraId="275DF34C" w14:textId="77777777" w:rsidR="00C67DD5" w:rsidRPr="00C67DD5" w:rsidRDefault="00C67DD5" w:rsidP="00C67DD5">
      <w:r w:rsidRPr="00C67DD5">
        <w:rPr>
          <w:b/>
          <w:bCs/>
        </w:rPr>
        <w:t>Advice</w:t>
      </w:r>
      <w:r w:rsidRPr="00C67DD5">
        <w:t> Buy</w:t>
      </w:r>
      <w:r w:rsidRPr="00C67DD5">
        <w:br/>
      </w:r>
      <w:r w:rsidRPr="00C67DD5">
        <w:rPr>
          <w:b/>
          <w:bCs/>
        </w:rPr>
        <w:t>Why</w:t>
      </w:r>
      <w:r w:rsidRPr="00C67DD5">
        <w:t> Aviva’s track record should reassure investors about its new targets</w:t>
      </w:r>
    </w:p>
    <w:p w14:paraId="1332C464" w14:textId="77777777" w:rsidR="00C67DD5" w:rsidRDefault="00C67DD5"/>
    <w:sectPr w:rsidR="00C67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C1"/>
    <w:rsid w:val="00052EC1"/>
    <w:rsid w:val="00086B9D"/>
    <w:rsid w:val="002B3ADA"/>
    <w:rsid w:val="00416C8B"/>
    <w:rsid w:val="0077201F"/>
    <w:rsid w:val="008A6FA8"/>
    <w:rsid w:val="00A33615"/>
    <w:rsid w:val="00B4374C"/>
    <w:rsid w:val="00C67DD5"/>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F700AD"/>
  <w15:chartTrackingRefBased/>
  <w15:docId w15:val="{D1EE32C9-CBEB-F740-8984-D798CAE5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E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E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2E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2E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2E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2E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2E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E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E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2E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2E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2E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2E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2E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2E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E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E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2E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2EC1"/>
    <w:rPr>
      <w:i/>
      <w:iCs/>
      <w:color w:val="404040" w:themeColor="text1" w:themeTint="BF"/>
    </w:rPr>
  </w:style>
  <w:style w:type="paragraph" w:styleId="ListParagraph">
    <w:name w:val="List Paragraph"/>
    <w:basedOn w:val="Normal"/>
    <w:uiPriority w:val="34"/>
    <w:qFormat/>
    <w:rsid w:val="00052EC1"/>
    <w:pPr>
      <w:ind w:left="720"/>
      <w:contextualSpacing/>
    </w:pPr>
  </w:style>
  <w:style w:type="character" w:styleId="IntenseEmphasis">
    <w:name w:val="Intense Emphasis"/>
    <w:basedOn w:val="DefaultParagraphFont"/>
    <w:uiPriority w:val="21"/>
    <w:qFormat/>
    <w:rsid w:val="00052EC1"/>
    <w:rPr>
      <w:i/>
      <w:iCs/>
      <w:color w:val="0F4761" w:themeColor="accent1" w:themeShade="BF"/>
    </w:rPr>
  </w:style>
  <w:style w:type="paragraph" w:styleId="IntenseQuote">
    <w:name w:val="Intense Quote"/>
    <w:basedOn w:val="Normal"/>
    <w:next w:val="Normal"/>
    <w:link w:val="IntenseQuoteChar"/>
    <w:uiPriority w:val="30"/>
    <w:qFormat/>
    <w:rsid w:val="0005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EC1"/>
    <w:rPr>
      <w:i/>
      <w:iCs/>
      <w:color w:val="0F4761" w:themeColor="accent1" w:themeShade="BF"/>
    </w:rPr>
  </w:style>
  <w:style w:type="character" w:styleId="IntenseReference">
    <w:name w:val="Intense Reference"/>
    <w:basedOn w:val="DefaultParagraphFont"/>
    <w:uiPriority w:val="32"/>
    <w:qFormat/>
    <w:rsid w:val="00052EC1"/>
    <w:rPr>
      <w:b/>
      <w:bCs/>
      <w:smallCaps/>
      <w:color w:val="0F4761" w:themeColor="accent1" w:themeShade="BF"/>
      <w:spacing w:val="5"/>
    </w:rPr>
  </w:style>
  <w:style w:type="character" w:styleId="Hyperlink">
    <w:name w:val="Hyperlink"/>
    <w:basedOn w:val="DefaultParagraphFont"/>
    <w:uiPriority w:val="99"/>
    <w:unhideWhenUsed/>
    <w:rsid w:val="00C67DD5"/>
    <w:rPr>
      <w:color w:val="467886" w:themeColor="hyperlink"/>
      <w:u w:val="single"/>
    </w:rPr>
  </w:style>
  <w:style w:type="character" w:styleId="UnresolvedMention">
    <w:name w:val="Unresolved Mention"/>
    <w:basedOn w:val="DefaultParagraphFont"/>
    <w:uiPriority w:val="99"/>
    <w:semiHidden/>
    <w:unhideWhenUsed/>
    <w:rsid w:val="00C67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times.com/business-money/companies/article/aviva-boss-rules-out-overseas-takeovers-after-direct-line-deal-2b20mxhtl" TargetMode="External"/><Relationship Id="rId5" Type="http://schemas.openxmlformats.org/officeDocument/2006/relationships/hyperlink" Target="https://www.thetimes.com/business-money/companies/article/aviva-buys-probitas-lloyds-london-market-ml8nws9hp" TargetMode="External"/><Relationship Id="rId4" Type="http://schemas.openxmlformats.org/officeDocument/2006/relationships/hyperlink" Target="https://www.thetimes.com/business-money/companies/article/aviva-buyback-takes-returns-to-shareholders-to-9bn-qlddt0xl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2</cp:revision>
  <dcterms:created xsi:type="dcterms:W3CDTF">2026-01-12T12:29:00Z</dcterms:created>
  <dcterms:modified xsi:type="dcterms:W3CDTF">2026-01-12T12:31:00Z</dcterms:modified>
</cp:coreProperties>
</file>