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8ybmuqy5vhzd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Over two million Royal London policyholders to share out £199m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="305.46" w:lineRule="auto"/>
        <w:rPr>
          <w:sz w:val="50"/>
          <w:szCs w:val="50"/>
        </w:rPr>
      </w:pPr>
      <w:bookmarkStart w:colFirst="0" w:colLast="0" w:name="_gwc4xkh78jlj" w:id="1"/>
      <w:bookmarkEnd w:id="1"/>
      <w:r w:rsidDel="00000000" w:rsidR="00000000" w:rsidRPr="00000000">
        <w:rPr>
          <w:sz w:val="50"/>
          <w:szCs w:val="50"/>
          <w:rtl w:val="0"/>
        </w:rPr>
        <w:t xml:space="preserve">This year’s profit share payout marks a 10% rise on the £181 million paid out in April 2025.</w:t>
      </w:r>
    </w:p>
    <w:p w:rsidR="00000000" w:rsidDel="00000000" w:rsidP="00000000" w:rsidRDefault="00000000" w:rsidRPr="00000000" w14:paraId="00000003">
      <w:pPr>
        <w:spacing w:after="320" w:before="0" w:lineRule="auto"/>
        <w:rPr>
          <w:color w:val="1b1b1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1b1b1b"/>
          <w:sz w:val="39"/>
          <w:szCs w:val="39"/>
        </w:rPr>
      </w:pPr>
      <w:bookmarkStart w:colFirst="0" w:colLast="0" w:name="_pt3b9x3amhux" w:id="2"/>
      <w:bookmarkEnd w:id="2"/>
      <w:r w:rsidDel="00000000" w:rsidR="00000000" w:rsidRPr="00000000">
        <w:rPr>
          <w:b w:val="1"/>
          <w:bCs w:val="1"/>
          <w:color w:val="1b1b1b"/>
          <w:sz w:val="39"/>
          <w:szCs w:val="39"/>
          <w:rtl w:val="0"/>
        </w:rPr>
        <w:t xml:space="preserve">For free real time breaking news alerts sent straight to your inbox sign up to our breaking news emails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416ed2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 would like to be emailed about offers, events and updates from The Independent. Read our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Privacy notice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416ed2"/>
          <w:sz w:val="27"/>
          <w:szCs w:val="27"/>
          <w:rtl w:val="0"/>
        </w:rPr>
        <w:t xml:space="preserve">Life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and pensions firm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Royal London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is to share out £199 million with around 2.4 million customers after annual earnings jumped by nearly a fifth.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mutual – the founding partner of the first British &amp;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Irish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Lions Women’s Team – will make the payouts into its customers’ pensions and stocks and shares ISAs on April 1, bringing the total paid under the profit share scheme to more than £2 billion since 2007.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comes after Royal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London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grew operating profit by 18% to £327 million as new business sales rose 13% to £12.2 billion.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Underlying pre-tax profits lifted by £1 million to £261 million.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This year’s profit share payout marks a 10% rise on the £181 million paid out in April 2025.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Barry O’Dwyer, group chief executive, said: “We’re owned by our customers and, when we do well, they share in our success.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“In April, we will share £199 million with eligible customers through ProfitShare, bringing the total shared since 2007 to over £2 billion – a tangible demonstration of mutuality in action.”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group said its workplace pensions business was its “largest source of new customers”, with 230,000 new policyholders taken on in 2025, taking the total to 2.2 million.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Last September it also launched its new stocks and shares ISA, which also qualifies for profit share payouts.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group added it was launching its “targeted support” offering this year under a new scheme being introduced by the Financial Conduct Authority (FCA) to act as a bridge between generic guidance and individual advice.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Royal London said: “Following the changes announced in the budgets over the last 18 months – around inheritance tax, cash ISA contributions and salary sacrifice pension contributions – it is likely that many people will need to reassess the ways in which they save for the future.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“However, with only 9% of the UK population paying for personal financial advice, the vast majority of customers are navigating complex financial decisions on their own.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“Our modelling suggests that Targeted Support could benefit 21.5 million people in the UK through the actionable advice it provides.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“In 2026, we will launch our Targeted Support offering, designed to complement our continued commitment to offering advisers the support and tools they need to deliver positive outcomes to their clients.”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