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g3jcg1c6lxfy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boss takes home pay packet increase of 53%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smbh2rqosioe" w:id="1"/>
      <w:bookmarkEnd w:id="1"/>
      <w:r w:rsidDel="00000000" w:rsidR="00000000" w:rsidRPr="00000000">
        <w:rPr>
          <w:sz w:val="50"/>
          <w:szCs w:val="50"/>
          <w:rtl w:val="0"/>
        </w:rPr>
        <w:t xml:space="preserve">Barry O’Dwyer received a pay rise to almost £4 million after the life and pensions mutual posted strong results</w:t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chief executive of Royal London, the life insurance and pensions group, has cemented his position as one of the highest-paid bosses in the mutual sector after receiving a 53 per cent pay rise to £3.92 million last year.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Barry O’Dwyer’s salary rise compares with an average for Royal London’s 5,000 employees of 5 per cent.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pay increase of more than £1.3 million means O’Dwyer is paid 59 times the median reward of his colleagues, up from 43 times in 2024 and 26 times in 2020, according to the annual report.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Business newsletter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business editor’s exclusive analysis of all the latest financial and economic news.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disclosed the pay packet as the customer-owned business reported an 18 per cent rise in operating profit to £327 million and said it was handing £199 million to 2.4 million eligible customers.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payout is equivalent to a 0.15 per cent increase to the pension pots of eligible members saving in workplace pensions run by Royal London, a boost unchanged from 2024.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Executive pay can be a sensitive subject in mutuals. Nationwide Building Society came under fire last year for proposing a maximum pay packet for its chief executive,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Debbie Crosbie, of £7 million.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Crosbie was paid £2.49 million last year.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“When the company does well, my variable remuneration goes up,” said O’Dwyer, who joined Royal London from Standard Life Aberdeen in 2019. “It’s a very strong set of results.”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O’Dwyer’s package in 2024 of £2.56 million was comfortably approved by members. Just 3.7 per cent opposed the company’s remuneration report.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revealed that it was sweetening one of the chief executive’s two bonus schemes further, enabling him to make up to 350 per cent of base pay, up from a previous maximum of 300 per cent.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change was “to ensure [the company] continues to attract and retain executives of the calibre required to deliver our strategic objectives in a competitive and evolving sector,” Jane Guyett, the board pay committee chair and a former investment banker with Bank of America Merrill Lynch, said. The committee also includes Baroness Davidson of Lundin Links, former leader of the Scottish Conservatives.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O’Dwyer said that the message to the vast majority of clients regarding the market gyrations of the past week was to “think long-term and sit tight”. However, the company had adjusted its investment positions at the margin, taking profits in the commodities sector.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Unusually for a pensions group, Royal London has a 5 per cent allocation to commodities and had been modestly trimming its positions in oil and precious metals, O’Dwyer said.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year, Royal London put a stop to the client defections precipitated by the departure of its star global equities team headed by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Peter Rutter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 Net outflows of £1 billion in 2024 turned to a net inflow of £4.1 billion in 2025.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Founded in a London coffee shop in 1861, Royal London is the largest life and pensions mutual in Britain. It looks after about £199 billion of savings.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ejlnpj6zbgbu" w:id="2"/>
      <w:bookmarkEnd w:id="2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Savers ready to buy the crash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Savers have squirrelled away more than £10 billion in Royal London’s popular money market fund to be ready to buy shares if markets plunge. Barry O’Dwer, chief executive, said the fund had experienced £3.1 billion of inflows in the past year. “A lot of people are parking their money in cash and waiting for a correction,” he said. Money market funds, which usually pay a return close to base rate, are more generous than the interest rates paid on cash by investment platforms, but are not 100 per cent guaranteed.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times.com/business/companies-markets/article/nationwide-debbie-crosbie-bonus-virgin-money-profits-n9kcf756p" TargetMode="External"/><Relationship Id="rId7" Type="http://schemas.openxmlformats.org/officeDocument/2006/relationships/hyperlink" Target="https://www.thetimes.com/business/companies-markets/article/royal-london-counts-cost-of-stockpickers-exit-pzl7lkzl8?gaa_at=eafs&amp;gaa_n=AWEtsqcEpxAVYXP-W-_ZHmjCCLJ9nlLU_Nppq63F1_aqow1idOrXijq-GwIc73Q08CQ%3D&amp;gaa_ts=69aafdf9&amp;gaa_sig=qV7syuzPWqOgfWNN1sL2OSkrWsJkdI-6MHT6oTOosR0j72eWp955RsMk3w7xnl4tyUS-Q2napuVP3Avtz70OQ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