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b1b1b"/>
          <w:sz w:val="90"/>
          <w:szCs w:val="90"/>
        </w:rPr>
      </w:pP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UK faces retirement crisis as Royal London calls for pension reform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are headed to having an increasingly large population of retired people with not enough money,” Royal London’s director of policy has said, warning the necessary changes would be politically difficult.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Speaking at the launch of Royal London’s ‘Higher auto-enrolment contributions, pension adequacy and economic outcomes’ report, Jamie Jenkins said while auto-enrolment had been a success, the current level of saving was inadequate.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Despite the fact that “businesses and households face significant cost challenges”, Jenkins argued that action was needed now, even if implementation must be gradual.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“If we are facing an increasing number of under-saved people in retirement who are unable to work, whose tax contribution is minimal, and who rely more heavily on state benefits, this will inevitably place a greater tax burden on the working population.”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36-page report by Oxford Economics, which revisits analysis carried out for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Royal London in 2024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revealed only 36 per cent of defined contribution households are projected to meet their target replacement rate threshold.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research modelled different reform scenarios for minimum default pension contributions. These were: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Scenario 1 – auto-enrolment age falls from 22 to 18 and the lower earnings band is removed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Scenario 2 – employer contributions rise to 5 per cent, resulting in a total contribution of 10 per cent</w:t>
        <w:br w:type="textWrapping"/>
        <w:t xml:space="preserve">Scenario 3 – employer and employee contributions both rise to 6 per cent (12 per cent in total)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Scenario 4 – employer and employee contributions both rise to 7 per cent (14 per cent in total)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Scenario 5 – contribution rates are raised to ensure target replacement rates are achieved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results showed that while all scenarios increased GDP and investment in UK productive finance over the longer term, they had an initial negative impact.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Similarly, the modelling showed that household income and government revenue both fell in the short term owing to reduced wages.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Jenkins said it was difficult to introduce policies that deliver long-term benefits but impose short-term costs.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“It is the big political question - how do you make a political decision that transcends party lines and works through successive parliaments and governments in a way that everybody supports and carries suit.”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1b1b1b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adviser.com/content/3f1efd57-d18b-57ac-b55e-e86babac93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