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color w:val="1b1b1b"/>
          <w:sz w:val="27"/>
          <w:szCs w:val="27"/>
        </w:rPr>
      </w:pPr>
      <w:bookmarkStart w:colFirst="0" w:colLast="0" w:name="_xh8x203om6m" w:id="0"/>
      <w:bookmarkEnd w:id="0"/>
      <w:r w:rsidDel="00000000" w:rsidR="00000000" w:rsidRPr="00000000">
        <w:rPr>
          <w:b w:val="1"/>
          <w:bCs w:val="1"/>
          <w:color w:val="1b1b1b"/>
          <w:sz w:val="90"/>
          <w:szCs w:val="90"/>
          <w:rtl w:val="0"/>
        </w:rPr>
        <w:t xml:space="preserve">Royal London reports 18% rise in operating profit</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Royal London has reported a strong performance for 2025, with operating profit rising 18% as the mutual insurer saw growth across pensions, protection and bulk purchase annuities.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firm’s flagship Governed Range investment portfolios attracted net inflows of £2.6bn during the year, taking assets under management to £83bn, up from £72bn in 2024.</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portfolios are used by most of the group’s pensions customers.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Protection new business sales also rose sharply, increasing 17% to £991m, compared with £846m the previous year.</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Royal London said this reflected improvements to its proposition and a growing share of a buoyant protection market.</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Group chief executive Barry O’Dwyer said the results reflected positive momentum across the business.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“We recorded another strong performance in 2025 with operating profit up 18%, reflecting the positive momentum across our business,” he said.</w:t>
      </w:r>
    </w:p>
    <w:p w:rsidR="00000000" w:rsidDel="00000000" w:rsidP="00000000" w:rsidRDefault="00000000" w:rsidRPr="00000000" w14:paraId="00000009">
      <w:pPr>
        <w:spacing w:after="280" w:before="280" w:lineRule="auto"/>
        <w:rPr>
          <w:color w:val="416ed2"/>
          <w:sz w:val="27"/>
          <w:szCs w:val="27"/>
        </w:rPr>
      </w:pPr>
      <w:r w:rsidDel="00000000" w:rsidR="00000000" w:rsidRPr="00000000">
        <w:rPr>
          <w:color w:val="1b1b1b"/>
          <w:sz w:val="27"/>
          <w:szCs w:val="27"/>
          <w:rtl w:val="0"/>
        </w:rPr>
        <w:t xml:space="preserve">“This was supported by our first full year in the bulk purchase annuities market, where we secured a series of key transactions as trustees and advisers valued the stability and long-term commitment that a mutual can offer.”</w:t>
      </w:r>
      <w:r w:rsidDel="00000000" w:rsidR="00000000" w:rsidRPr="00000000">
        <w:rPr>
          <w:rtl w:val="0"/>
        </w:rPr>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Royal London completed 18 bulk purchase annuity buy-in transactions during the year, generating £1.3bn of premiums in its first full year operating in the market.</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Workplace pensions remain central to the group’s strategy, with 2.2 million customers invested in the Governed Range portfolios.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O’Dwyer said the firm plans to invest further in the area, committing £100m over the next three years to enhance its workplace pensions offering.</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“Our continued success and long-term focus as a mutual on customers are enabling us to invest £100m over the next three years to enhance our Workplace Pensions offer,” he said.</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insurer also broadened its investment offering with the launch of a new Stocks and Shares Isa aimed at both individual and workplace pensions customers.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As a mutual organisation, Royal London said customers will share directly in the firm’s success through its ProfitShare scheme.</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In April, the firm will distribute £199m to eligible customers, taking the total shared since 2007 to more than £2bn.</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“We’re owned by our customers and, when we do well, they share in our success,” O’Dwyer said.</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Customer satisfaction has also continued to improve, with 44% of customers now rating Royal London nine or 10 out of 10, up 12 percentage points since the measure was introduced in 2020.</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firm also expanded its private assets capabilities through new fund launches and the acquisition of Dalmore Capital, allowing Governed Range customers greater access to investments such as infrastructure and property.</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Meanwhile, Royal London’s Irish business reported strong growth, with protection and pensions new business sales rising 64% to £488m.</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