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vnv897szldg3" w:id="0"/>
      <w:bookmarkEnd w:id="0"/>
      <w:r w:rsidDel="00000000" w:rsidR="00000000" w:rsidRPr="00000000">
        <w:rPr>
          <w:b w:val="1"/>
          <w:bCs w:val="1"/>
          <w:color w:val="1b1b1b"/>
          <w:sz w:val="90"/>
          <w:szCs w:val="90"/>
          <w:rtl w:val="0"/>
        </w:rPr>
        <w:t xml:space="preserve">Royal London swings to £4.1bn inflows after SJP multi-asset win</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4184ujvkmnp" w:id="1"/>
      <w:bookmarkEnd w:id="1"/>
      <w:r w:rsidDel="00000000" w:rsidR="00000000" w:rsidRPr="00000000">
        <w:rPr>
          <w:sz w:val="50"/>
          <w:szCs w:val="50"/>
          <w:rtl w:val="0"/>
        </w:rPr>
        <w:t xml:space="preserve">Mutual returns to positive flows on back of Strategic Managed fund mandate and money market demand, while IHT reforms boosted protection business.</w:t>
      </w:r>
    </w:p>
    <w:p w:rsidR="00000000" w:rsidDel="00000000" w:rsidP="00000000" w:rsidRDefault="00000000" w:rsidRPr="00000000" w14:paraId="00000003">
      <w:pPr>
        <w:spacing w:after="280" w:before="280" w:lineRule="auto"/>
        <w:rPr>
          <w:color w:val="1b1b1b"/>
          <w:sz w:val="27"/>
          <w:szCs w:val="27"/>
        </w:rPr>
      </w:pPr>
      <w:hyperlink r:id="rId6">
        <w:r w:rsidDel="00000000" w:rsidR="00000000" w:rsidRPr="00000000">
          <w:rPr>
            <w:color w:val="416ed2"/>
            <w:sz w:val="27"/>
            <w:szCs w:val="27"/>
            <w:rtl w:val="0"/>
          </w:rPr>
          <w:t xml:space="preserve">Royal London</w:t>
        </w:r>
      </w:hyperlink>
      <w:r w:rsidDel="00000000" w:rsidR="00000000" w:rsidRPr="00000000">
        <w:rPr>
          <w:color w:val="1b1b1b"/>
          <w:sz w:val="27"/>
          <w:szCs w:val="27"/>
          <w:rtl w:val="0"/>
        </w:rPr>
        <w:t xml:space="preserve"> reversed 2024’s outflows to record a £4.1bn net inflow last year, propelled by winning a £4.6bn St James’s Place (SJP) multi-asset mandate. </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mutual insurer’s latest financial results reveal a sharp turnaround from the £1bn net outflow suffered in 2024, alongside a surge in gross inflows from £31.8bn to £42.5bn.</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It noted that taking over SJP’s </w:t>
      </w:r>
      <w:hyperlink r:id="rId7">
        <w:r w:rsidDel="00000000" w:rsidR="00000000" w:rsidRPr="00000000">
          <w:rPr>
            <w:color w:val="416ed2"/>
            <w:sz w:val="27"/>
            <w:szCs w:val="27"/>
            <w:rtl w:val="0"/>
          </w:rPr>
          <w:t xml:space="preserve">Strategic Managed</w:t>
        </w:r>
      </w:hyperlink>
      <w:r w:rsidDel="00000000" w:rsidR="00000000" w:rsidRPr="00000000">
        <w:rPr>
          <w:color w:val="1b1b1b"/>
          <w:sz w:val="27"/>
          <w:szCs w:val="27"/>
          <w:rtl w:val="0"/>
        </w:rPr>
        <w:t xml:space="preserve"> fund from </w:t>
      </w:r>
      <w:hyperlink r:id="rId8">
        <w:r w:rsidDel="00000000" w:rsidR="00000000" w:rsidRPr="00000000">
          <w:rPr>
            <w:color w:val="416ed2"/>
            <w:sz w:val="27"/>
            <w:szCs w:val="27"/>
            <w:rtl w:val="0"/>
          </w:rPr>
          <w:t xml:space="preserve">Columbia Threadneedle last February</w:t>
        </w:r>
      </w:hyperlink>
      <w:r w:rsidDel="00000000" w:rsidR="00000000" w:rsidRPr="00000000">
        <w:rPr>
          <w:color w:val="1b1b1b"/>
          <w:sz w:val="27"/>
          <w:szCs w:val="27"/>
          <w:rtl w:val="0"/>
        </w:rPr>
        <w:t xml:space="preserve"> was a major driver of the turnaround, highlighting how the UK’s largest advice firm can be a kingmaker for asset managers.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Flows were also boosted by strong demand for money market funds and the acquisition of infrastructure specialist Dalmore Capital, which </w:t>
      </w:r>
      <w:hyperlink r:id="rId9">
        <w:r w:rsidDel="00000000" w:rsidR="00000000" w:rsidRPr="00000000">
          <w:rPr>
            <w:color w:val="416ed2"/>
            <w:sz w:val="27"/>
            <w:szCs w:val="27"/>
            <w:rtl w:val="0"/>
          </w:rPr>
          <w:t xml:space="preserve">added £6bn to the mutual’s books</w:t>
        </w:r>
      </w:hyperlink>
      <w:r w:rsidDel="00000000" w:rsidR="00000000" w:rsidRPr="00000000">
        <w:rPr>
          <w:color w:val="1b1b1b"/>
          <w:sz w:val="27"/>
          <w:szCs w:val="27"/>
          <w:rtl w:val="0"/>
        </w:rPr>
        <w:t xml:space="preserve">.</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 company’s total assets under management reached an all-time high of £199bn by the end of December 2025, a significant leap from £173bn the previous year.</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Royal London also saw a 17% jump in protection new business sales to £991m in 2025, up from £846m the previous year. This growth was turbocharged by a surge in high-net-worth clients seeking to shield their wealth </w:t>
      </w:r>
      <w:hyperlink r:id="rId10">
        <w:r w:rsidDel="00000000" w:rsidR="00000000" w:rsidRPr="00000000">
          <w:rPr>
            <w:color w:val="416ed2"/>
            <w:sz w:val="27"/>
            <w:szCs w:val="27"/>
            <w:rtl w:val="0"/>
          </w:rPr>
          <w:t xml:space="preserve">from inheritance tax (IHT) reforms announced in the 2024 Budget</w:t>
        </w:r>
      </w:hyperlink>
      <w:r w:rsidDel="00000000" w:rsidR="00000000" w:rsidRPr="00000000">
        <w:rPr>
          <w:color w:val="1b1b1b"/>
          <w:sz w:val="27"/>
          <w:szCs w:val="27"/>
          <w:rtl w:val="0"/>
        </w:rPr>
        <w:t xml:space="preserve">.</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 insurer noted particularly strong inflows into its joint life second death term product, which helps advisers mitigate IHT liabilities for their clients by covering two people on the same policy. Royal London said the larger value of protection deals in 2025 boosted margins on the business from 3.2% to 7.7%. </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Group adjusted operating profit grew 18% year-on-year to £327m, with its first year of bulk purchase annuity deals also boosting the mutual. </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‘In April, we will share £199m with eligible customers through ProfitShare, bringing the total shared since 2007 to over £2bn - a tangible demonstration of mutuality in action,’ Royal London CEO Barry O’Dwyer said.</w:t>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itywire.com/new-model-adviser/news/gifting-life-insurance-and-trusts-how-planners-are-cutting-iht-bills/a2481334?utm_medium=website&amp;utm_source=citywire_nma&amp;utm_campaign=article-in-body" TargetMode="External"/><Relationship Id="rId9" Type="http://schemas.openxmlformats.org/officeDocument/2006/relationships/hyperlink" Target="https://citywire.com/new-model-adviser/news/royal-london-buys-6bn-infrastructure-manager/a2466360?utm_medium=website&amp;utm_source=citywire_nma&amp;utm_campaign=article-in-body" TargetMode="External"/><Relationship Id="rId5" Type="http://schemas.openxmlformats.org/officeDocument/2006/relationships/styles" Target="styles.xml"/><Relationship Id="rId6" Type="http://schemas.openxmlformats.org/officeDocument/2006/relationships/hyperlink" Target="https://citywire.com/new-model-adviser/news/company/royal-london/j141?utm_medium=website&amp;utm_source=citywire_nma&amp;utm_campaign=article-in-body" TargetMode="External"/><Relationship Id="rId7" Type="http://schemas.openxmlformats.org/officeDocument/2006/relationships/hyperlink" Target="https://citywire.com/new-model-adviser/fund/st-jamess-strategic-managed/c263938?utm_medium=website&amp;utm_source=citywire_nma&amp;utm_campaign=article-in-body" TargetMode="External"/><Relationship Id="rId8" Type="http://schemas.openxmlformats.org/officeDocument/2006/relationships/hyperlink" Target="https://citywire.com/new-model-adviser/news/sjp-drops-columbia-threadneedle-for-royal-london-on-4-6bn-mandate/a2460529?utm_medium=website&amp;utm_source=citywire_nma&amp;utm_campaign=article-in-bo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