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553.8461538461538" w:lineRule="auto"/>
        <w:rPr>
          <w:color w:val="1a1919"/>
          <w:sz w:val="82"/>
          <w:szCs w:val="82"/>
        </w:rPr>
      </w:pPr>
      <w:bookmarkStart w:colFirst="0" w:colLast="0" w:name="_7dna7ofek1e8" w:id="0"/>
      <w:bookmarkEnd w:id="0"/>
      <w:r w:rsidDel="00000000" w:rsidR="00000000" w:rsidRPr="00000000">
        <w:rPr>
          <w:color w:val="1a1919"/>
          <w:sz w:val="82"/>
          <w:szCs w:val="82"/>
          <w:rtl w:val="0"/>
        </w:rPr>
        <w:t xml:space="preserve">Royal London hits record £199bn AUM amid private assets push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3.33333333333337" w:lineRule="auto"/>
        <w:rPr>
          <w:color w:val="58648c"/>
          <w:sz w:val="53"/>
          <w:szCs w:val="53"/>
        </w:rPr>
      </w:pPr>
      <w:bookmarkStart w:colFirst="0" w:colLast="0" w:name="_pvwb6vqifokn" w:id="1"/>
      <w:bookmarkEnd w:id="1"/>
      <w:r w:rsidDel="00000000" w:rsidR="00000000" w:rsidRPr="00000000">
        <w:rPr>
          <w:color w:val="58648c"/>
          <w:sz w:val="53"/>
          <w:szCs w:val="53"/>
          <w:rtl w:val="0"/>
        </w:rPr>
        <w:t xml:space="preserve">Profit up 18%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768.0000000000001" w:lineRule="auto"/>
        <w:rPr>
          <w:color w:val="242953"/>
        </w:rPr>
      </w:pPr>
      <w:bookmarkStart w:colFirst="0" w:colLast="0" w:name="_e0wjcpfgz6d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768.0000000000001" w:lineRule="auto"/>
        <w:rPr>
          <w:color w:val="242953"/>
        </w:rPr>
      </w:pPr>
      <w:bookmarkStart w:colFirst="0" w:colLast="0" w:name="_1eksuuot05us" w:id="3"/>
      <w:bookmarkEnd w:id="3"/>
      <w:r w:rsidDel="00000000" w:rsidR="00000000" w:rsidRPr="00000000">
        <w:rPr>
          <w:color w:val="242953"/>
          <w:rtl w:val="0"/>
        </w:rPr>
        <w:t xml:space="preserve">Boosted flows into liquidity funds and a £4.6bn multi-asset mandate with St James’s Place saw Royal London hit net inflows of £4.1bn in 2025, following £1bn of outflows in the previous year.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According to its annual results today (6 March), assets under management (AUM) increased to a record £199bn, £26bn higher than at the end of 2024.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This included £6bn from Dalmore Capital, </w:t>
      </w:r>
      <w:hyperlink r:id="rId6">
        <w:r w:rsidDel="00000000" w:rsidR="00000000" w:rsidRPr="00000000">
          <w:rPr>
            <w:color w:val="a32129"/>
            <w:sz w:val="24"/>
            <w:szCs w:val="24"/>
            <w:rtl w:val="0"/>
          </w:rPr>
          <w:t xml:space="preserve">which Royal London acquired in May 2025</w:t>
        </w:r>
      </w:hyperlink>
      <w:r w:rsidDel="00000000" w:rsidR="00000000" w:rsidRPr="00000000">
        <w:rPr>
          <w:color w:val="1d1d1b"/>
          <w:sz w:val="24"/>
          <w:szCs w:val="24"/>
          <w:rtl w:val="0"/>
        </w:rPr>
        <w:t xml:space="preserve"> to boost its private asset capabilities alongside the launch of new private asset-focused funds throughout the year.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Royal London launched three asset-backed securities funds and entered the collateralised loan obligation market in 2025.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Operating profit also grew by 18% to £327m, from £277m in 2024, which it attributed to strength in its pensions business, higher protection contributions and a full year of trading from its bulk purchase annuity proposition.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However, inflows into its flagship governed range began to slow down, attracting £2.6bn in 2025 compared to £3.2bn in 2024. The range's AUM increased by £11bn over the year to reach £83bn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a32129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Of its actively managed funds, 80% outperformed their three-year benchmark on an equally weighted basis and 51% outperformed on an AUM-weighted basis, although these figures were slightly down from 81% and 60%, respectively, in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Group CEO Barry O'Dwyer said the results reflected the positive momentum across the business, and revealed that Royal London will share £199m with eligible customers through ProfitShare in April.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He noted the group had broadened its savings offering for its Individual and Workplace Pensions customers with the launch of a new Stocks and Shares ISA – which also qualifies for ProfitShare.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"We continue to focus on helping customers to make informed choices to build lasting financial resilience," O'Dwyer added.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vestmentweek.co.uk/news/4414000/royal-london-dalmore-cap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