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tnz3ymmisiw5" w:id="0"/>
      <w:bookmarkEnd w:id="0"/>
      <w:r w:rsidDel="00000000" w:rsidR="00000000" w:rsidRPr="00000000">
        <w:rPr>
          <w:b w:val="1"/>
          <w:bCs w:val="1"/>
          <w:color w:val="1b1b1b"/>
          <w:sz w:val="90"/>
          <w:szCs w:val="90"/>
          <w:rtl w:val="0"/>
        </w:rPr>
        <w:t xml:space="preserve">Royal London receives FCA approval to deliver targeted support</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6f3ubgg1b2l" w:id="1"/>
      <w:bookmarkEnd w:id="1"/>
      <w:r w:rsidDel="00000000" w:rsidR="00000000" w:rsidRPr="00000000">
        <w:rPr>
          <w:sz w:val="50"/>
          <w:szCs w:val="50"/>
          <w:rtl w:val="0"/>
        </w:rPr>
        <w:t xml:space="preserve">Royal London has received permission from the FCA to begin delivering targeted support.</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Royal London has received regulatory permission to deliver targeted support, it said in a statement this afternoon.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pension provider has recently been developing its Wealth Wizards advice arm that will deliver the service to its clients.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Royal London said in a statement that it was still developing and shaping what its targeted support offering would look like and would ‘share details in due course’.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Part of the FCA’s policy sprint last year, Royal London is among a number of providers who have been lobbying for the service that will constitute guidance rather than advice.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Other providers, including Aviva, Quilter and Standard Life have indicated they will also seek targeted support permissions. Royal London is the first to publicly announce it has got the FCA permissions to offer the service.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‘Our investment in technology and digital capability means we will deliver targeted support in a way that is scalable, responsive and rooted in good customer outcomes,’ Ben Hampton, CEO of Wealth Wizards, said.</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regime creates a sliding scale of help, allowing people to access different levels of support depending on their needs, and at moments that really matter.’</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Speaking to</w:t>
      </w:r>
      <w:hyperlink r:id="rId6">
        <w:r w:rsidDel="00000000" w:rsidR="00000000" w:rsidRPr="00000000">
          <w:rPr>
            <w:color w:val="416ed2"/>
            <w:sz w:val="27"/>
            <w:szCs w:val="27"/>
            <w:rtl w:val="0"/>
          </w:rPr>
          <w:t xml:space="preserve"> Citywire’s Advice Show in January</w:t>
        </w:r>
      </w:hyperlink>
      <w:r w:rsidDel="00000000" w:rsidR="00000000" w:rsidRPr="00000000">
        <w:rPr>
          <w:color w:val="1b1b1b"/>
          <w:sz w:val="27"/>
          <w:szCs w:val="27"/>
          <w:rtl w:val="0"/>
        </w:rPr>
        <w:t xml:space="preserve">, Hampton said that consumers need more help than ever before and that was why he was so keen on targeted support. </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new-model-adviser/news/how-royal-london-plans-to-roll-out-targeted-support/a2481988?utm_medium=website&amp;utm_source=citywire_nma&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