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60" w:before="0" w:line="291.38399999999996" w:lineRule="auto"/>
        <w:rPr>
          <w:b w:val="1"/>
          <w:bCs w:val="1"/>
          <w:color w:val="1b1b1b"/>
          <w:sz w:val="90"/>
          <w:szCs w:val="90"/>
        </w:rPr>
      </w:pPr>
      <w:bookmarkStart w:colFirst="0" w:colLast="0" w:name="_f5zgoax2vhhk" w:id="0"/>
      <w:bookmarkEnd w:id="0"/>
      <w:r w:rsidDel="00000000" w:rsidR="00000000" w:rsidRPr="00000000">
        <w:rPr>
          <w:b w:val="1"/>
          <w:bCs w:val="1"/>
          <w:color w:val="1b1b1b"/>
          <w:sz w:val="90"/>
          <w:szCs w:val="90"/>
          <w:rtl w:val="0"/>
        </w:rPr>
        <w:t xml:space="preserve">M&amp;G’s Royal London lawsuit over high-risk platform bonds settled</w:t>
      </w:r>
    </w:p>
    <w:p w:rsidR="00000000" w:rsidDel="00000000" w:rsidP="00000000" w:rsidRDefault="00000000" w:rsidRPr="00000000" w14:paraId="00000002">
      <w:pPr>
        <w:rPr>
          <w:color w:val="1b1b1b"/>
          <w:sz w:val="27"/>
          <w:szCs w:val="27"/>
        </w:rPr>
      </w:pPr>
      <w:r w:rsidDel="00000000" w:rsidR="00000000" w:rsidRPr="00000000">
        <w:rPr>
          <w:color w:val="1b1b1b"/>
          <w:sz w:val="27"/>
          <w:szCs w:val="27"/>
          <w:rtl w:val="0"/>
        </w:rPr>
        <w:t xml:space="preserve">​</w:t>
      </w:r>
    </w:p>
    <w:p w:rsidR="00000000" w:rsidDel="00000000" w:rsidP="00000000" w:rsidRDefault="00000000" w:rsidRPr="00000000" w14:paraId="00000003">
      <w:pPr>
        <w:rPr>
          <w:b w:val="1"/>
          <w:bCs w:val="1"/>
        </w:rPr>
      </w:pPr>
      <w:r w:rsidDel="00000000" w:rsidR="00000000" w:rsidRPr="00000000">
        <w:rPr>
          <w:b w:val="1"/>
          <w:bCs w:val="1"/>
          <w:rtl w:val="0"/>
        </w:rPr>
        <w:t xml:space="preserve"> Summarise</w:t>
      </w:r>
    </w:p>
    <w:p w:rsidR="00000000" w:rsidDel="00000000" w:rsidP="00000000" w:rsidRDefault="00000000" w:rsidRPr="00000000" w14:paraId="00000004">
      <w:pPr>
        <w:rPr>
          <w:color w:val="1b1b1b"/>
          <w:sz w:val="27"/>
          <w:szCs w:val="27"/>
        </w:rPr>
      </w:pPr>
      <w:r w:rsidDel="00000000" w:rsidR="00000000" w:rsidRPr="00000000">
        <w:rPr>
          <w:color w:val="1b1b1b"/>
          <w:sz w:val="27"/>
          <w:szCs w:val="27"/>
          <w:rtl w:val="0"/>
        </w:rPr>
        <w:t xml:space="preserve">​</w:t>
      </w:r>
    </w:p>
    <w:p w:rsidR="00000000" w:rsidDel="00000000" w:rsidP="00000000" w:rsidRDefault="00000000" w:rsidRPr="00000000" w14:paraId="00000005">
      <w:pPr>
        <w:pStyle w:val="Heading2"/>
        <w:keepNext w:val="0"/>
        <w:keepLines w:val="0"/>
        <w:spacing w:after="80" w:before="0" w:line="305.46" w:lineRule="auto"/>
        <w:rPr>
          <w:sz w:val="50"/>
          <w:szCs w:val="50"/>
        </w:rPr>
      </w:pPr>
      <w:bookmarkStart w:colFirst="0" w:colLast="0" w:name="_pqzjn01yequp" w:id="1"/>
      <w:bookmarkEnd w:id="1"/>
      <w:r w:rsidDel="00000000" w:rsidR="00000000" w:rsidRPr="00000000">
        <w:rPr>
          <w:sz w:val="50"/>
          <w:szCs w:val="50"/>
          <w:rtl w:val="0"/>
        </w:rPr>
        <w:t xml:space="preserve">The case came after M&amp;G bought the Ascentric platform for £86m in 2020 from Royal London.</w:t>
      </w:r>
    </w:p>
    <w:p w:rsidR="00000000" w:rsidDel="00000000" w:rsidP="00000000" w:rsidRDefault="00000000" w:rsidRPr="00000000" w14:paraId="00000006">
      <w:pPr>
        <w:spacing w:after="280" w:before="280" w:lineRule="auto"/>
        <w:rPr>
          <w:color w:val="1b1b1b"/>
          <w:sz w:val="27"/>
          <w:szCs w:val="27"/>
        </w:rPr>
      </w:pPr>
      <w:r w:rsidDel="00000000" w:rsidR="00000000" w:rsidRPr="00000000">
        <w:rPr>
          <w:color w:val="1b1b1b"/>
          <w:sz w:val="27"/>
          <w:szCs w:val="27"/>
          <w:rtl w:val="0"/>
        </w:rPr>
        <w:t xml:space="preserve">The case between M&amp;G and Royal London over high-risk mini bonds on the M&amp;G Wealth Platform has been quietly settled, according to court filings. </w:t>
      </w:r>
    </w:p>
    <w:p w:rsidR="00000000" w:rsidDel="00000000" w:rsidP="00000000" w:rsidRDefault="00000000" w:rsidRPr="00000000" w14:paraId="00000007">
      <w:pPr>
        <w:spacing w:after="280" w:before="280" w:lineRule="auto"/>
        <w:rPr>
          <w:color w:val="1b1b1b"/>
          <w:sz w:val="27"/>
          <w:szCs w:val="27"/>
        </w:rPr>
      </w:pPr>
      <w:r w:rsidDel="00000000" w:rsidR="00000000" w:rsidRPr="00000000">
        <w:rPr>
          <w:color w:val="1b1b1b"/>
          <w:sz w:val="27"/>
          <w:szCs w:val="27"/>
          <w:rtl w:val="0"/>
        </w:rPr>
        <w:t xml:space="preserve">M&amp;G filed a lawsuit against </w:t>
      </w:r>
      <w:hyperlink r:id="rId6">
        <w:r w:rsidDel="00000000" w:rsidR="00000000" w:rsidRPr="00000000">
          <w:rPr>
            <w:color w:val="416ed2"/>
            <w:sz w:val="27"/>
            <w:szCs w:val="27"/>
            <w:rtl w:val="0"/>
          </w:rPr>
          <w:t xml:space="preserve">Royal London last November </w:t>
        </w:r>
      </w:hyperlink>
      <w:r w:rsidDel="00000000" w:rsidR="00000000" w:rsidRPr="00000000">
        <w:rPr>
          <w:color w:val="1b1b1b"/>
          <w:sz w:val="27"/>
          <w:szCs w:val="27"/>
          <w:rtl w:val="0"/>
        </w:rPr>
        <w:t xml:space="preserve">alleging it did not fully disclose high-risk investment bonds held on the Ascentric platform, as it was then known, before selling it to the asset manager in 2020 for £86m. </w:t>
      </w:r>
    </w:p>
    <w:p w:rsidR="00000000" w:rsidDel="00000000" w:rsidP="00000000" w:rsidRDefault="00000000" w:rsidRPr="00000000" w14:paraId="00000008">
      <w:pPr>
        <w:spacing w:after="280" w:before="280" w:lineRule="auto"/>
        <w:rPr>
          <w:color w:val="1b1b1b"/>
          <w:sz w:val="27"/>
          <w:szCs w:val="27"/>
        </w:rPr>
      </w:pPr>
      <w:r w:rsidDel="00000000" w:rsidR="00000000" w:rsidRPr="00000000">
        <w:rPr>
          <w:color w:val="1b1b1b"/>
          <w:sz w:val="27"/>
          <w:szCs w:val="27"/>
          <w:rtl w:val="0"/>
        </w:rPr>
        <w:t xml:space="preserve">An update showed that the case has been concluded on 16 May. Details of the settlement are not known.</w:t>
      </w:r>
    </w:p>
    <w:p w:rsidR="00000000" w:rsidDel="00000000" w:rsidP="00000000" w:rsidRDefault="00000000" w:rsidRPr="00000000" w14:paraId="00000009">
      <w:pPr>
        <w:spacing w:after="280" w:before="280" w:lineRule="auto"/>
        <w:rPr>
          <w:color w:val="1b1b1b"/>
          <w:sz w:val="27"/>
          <w:szCs w:val="27"/>
        </w:rPr>
      </w:pPr>
      <w:r w:rsidDel="00000000" w:rsidR="00000000" w:rsidRPr="00000000">
        <w:rPr>
          <w:color w:val="1b1b1b"/>
          <w:sz w:val="27"/>
          <w:szCs w:val="27"/>
          <w:rtl w:val="0"/>
        </w:rPr>
        <w:t xml:space="preserve">A spokesperson for M&amp;G confirmed the case had been resolved. ‘We have resolved our claim against Royal London. We will not be providing any further comments on the matter.’</w:t>
      </w:r>
    </w:p>
    <w:p w:rsidR="00000000" w:rsidDel="00000000" w:rsidP="00000000" w:rsidRDefault="00000000" w:rsidRPr="00000000" w14:paraId="0000000A">
      <w:pPr>
        <w:spacing w:after="280" w:before="280" w:lineRule="auto"/>
        <w:rPr>
          <w:color w:val="1b1b1b"/>
          <w:sz w:val="27"/>
          <w:szCs w:val="27"/>
        </w:rPr>
      </w:pPr>
      <w:r w:rsidDel="00000000" w:rsidR="00000000" w:rsidRPr="00000000">
        <w:rPr>
          <w:color w:val="1b1b1b"/>
          <w:sz w:val="27"/>
          <w:szCs w:val="27"/>
          <w:rtl w:val="0"/>
        </w:rPr>
        <w:t xml:space="preserve">A spokesperson for Royal London declined to comment.</w:t>
      </w:r>
    </w:p>
    <w:p w:rsidR="00000000" w:rsidDel="00000000" w:rsidP="00000000" w:rsidRDefault="00000000" w:rsidRPr="00000000" w14:paraId="0000000B">
      <w:pPr>
        <w:spacing w:after="280" w:before="280" w:lineRule="auto"/>
        <w:rPr>
          <w:color w:val="1b1b1b"/>
          <w:sz w:val="27"/>
          <w:szCs w:val="27"/>
        </w:rPr>
      </w:pPr>
      <w:r w:rsidDel="00000000" w:rsidR="00000000" w:rsidRPr="00000000">
        <w:rPr>
          <w:color w:val="1b1b1b"/>
          <w:sz w:val="27"/>
          <w:szCs w:val="27"/>
          <w:rtl w:val="0"/>
        </w:rPr>
        <w:t xml:space="preserve">In the case </w:t>
      </w:r>
      <w:hyperlink r:id="rId7">
        <w:r w:rsidDel="00000000" w:rsidR="00000000" w:rsidRPr="00000000">
          <w:rPr>
            <w:color w:val="416ed2"/>
            <w:sz w:val="27"/>
            <w:szCs w:val="27"/>
            <w:rtl w:val="0"/>
          </w:rPr>
          <w:t xml:space="preserve">M&amp;G argued that when</w:t>
        </w:r>
      </w:hyperlink>
      <w:r w:rsidDel="00000000" w:rsidR="00000000" w:rsidRPr="00000000">
        <w:rPr>
          <w:color w:val="1b1b1b"/>
          <w:sz w:val="27"/>
          <w:szCs w:val="27"/>
          <w:rtl w:val="0"/>
        </w:rPr>
        <w:t xml:space="preserve"> it bought the Ascentric platform from Royal London in 2020, the non-standard assets held on the platform were not disclosed in the deal. </w:t>
      </w:r>
    </w:p>
    <w:p w:rsidR="00000000" w:rsidDel="00000000" w:rsidP="00000000" w:rsidRDefault="00000000" w:rsidRPr="00000000" w14:paraId="0000000C">
      <w:pPr>
        <w:spacing w:after="280" w:before="280" w:lineRule="auto"/>
        <w:rPr>
          <w:color w:val="1b1b1b"/>
          <w:sz w:val="27"/>
          <w:szCs w:val="27"/>
        </w:rPr>
      </w:pPr>
      <w:r w:rsidDel="00000000" w:rsidR="00000000" w:rsidRPr="00000000">
        <w:rPr>
          <w:color w:val="1b1b1b"/>
          <w:sz w:val="27"/>
          <w:szCs w:val="27"/>
          <w:rtl w:val="0"/>
        </w:rPr>
        <w:t xml:space="preserve">The court document alleged that Royal London did not fully disclose high-risk bonds, called Corporate Finance Bonds (CFP), sitting on the platform which were offered by the now-defunct discretionary fund manager (DFM) Clear Capital Management.</w:t>
      </w:r>
    </w:p>
    <w:p w:rsidR="00000000" w:rsidDel="00000000" w:rsidP="00000000" w:rsidRDefault="00000000" w:rsidRPr="00000000" w14:paraId="0000000D">
      <w:pPr>
        <w:spacing w:after="280" w:before="280" w:lineRule="auto"/>
        <w:rPr>
          <w:color w:val="1b1b1b"/>
          <w:sz w:val="27"/>
          <w:szCs w:val="27"/>
        </w:rPr>
      </w:pPr>
      <w:r w:rsidDel="00000000" w:rsidR="00000000" w:rsidRPr="00000000">
        <w:rPr>
          <w:color w:val="1b1b1b"/>
          <w:sz w:val="27"/>
          <w:szCs w:val="27"/>
          <w:rtl w:val="0"/>
        </w:rPr>
        <w:t xml:space="preserve">The bonds were illiquid and provided a ‘conflict of interest’ with the advice firms who recommended them, the documents said. </w:t>
      </w:r>
    </w:p>
    <w:p w:rsidR="00000000" w:rsidDel="00000000" w:rsidP="00000000" w:rsidRDefault="00000000" w:rsidRPr="00000000" w14:paraId="0000000E">
      <w:pPr>
        <w:spacing w:after="280" w:before="280" w:lineRule="auto"/>
        <w:rPr>
          <w:color w:val="1b1b1b"/>
          <w:sz w:val="27"/>
          <w:szCs w:val="27"/>
        </w:rPr>
      </w:pPr>
      <w:r w:rsidDel="00000000" w:rsidR="00000000" w:rsidRPr="00000000">
        <w:rPr>
          <w:color w:val="1b1b1b"/>
          <w:sz w:val="27"/>
          <w:szCs w:val="27"/>
          <w:rtl w:val="0"/>
        </w:rPr>
        <w:t xml:space="preserve">The court documents revealed that Royal London was contacted by the FCA in April 2019 about the DFM and mini-bonds, and all mini-bonds assets were later banned from the Ascentric platform.</w:t>
      </w:r>
    </w:p>
    <w:p w:rsidR="00000000" w:rsidDel="00000000" w:rsidP="00000000" w:rsidRDefault="00000000" w:rsidRPr="00000000" w14:paraId="0000000F">
      <w:pPr>
        <w:spacing w:after="280" w:before="280" w:lineRule="auto"/>
        <w:rPr>
          <w:color w:val="1b1b1b"/>
          <w:sz w:val="27"/>
          <w:szCs w:val="27"/>
        </w:rPr>
      </w:pPr>
      <w:r w:rsidDel="00000000" w:rsidR="00000000" w:rsidRPr="00000000">
        <w:rPr>
          <w:color w:val="1b1b1b"/>
          <w:sz w:val="27"/>
          <w:szCs w:val="27"/>
          <w:rtl w:val="0"/>
        </w:rPr>
        <w:t xml:space="preserve">In its defence, Royal London denied the insurer’s due diligence on the bonds breached any obligations or sale warranties saying the bonds were ‘listed on an exchange permitted by its internal policies, supported by a market maker, Winterflood Securities, and were allowable within its pensions under [HM Revenue &amp; Customs] rules’.</w:t>
      </w:r>
    </w:p>
    <w:p w:rsidR="00000000" w:rsidDel="00000000" w:rsidP="00000000" w:rsidRDefault="00000000" w:rsidRPr="00000000" w14:paraId="00000010">
      <w:pPr>
        <w:spacing w:after="280" w:before="280" w:lineRule="auto"/>
        <w:rPr>
          <w:color w:val="1b1b1b"/>
          <w:sz w:val="27"/>
          <w:szCs w:val="27"/>
        </w:rPr>
      </w:pPr>
      <w:r w:rsidDel="00000000" w:rsidR="00000000" w:rsidRPr="00000000">
        <w:rPr>
          <w:color w:val="1b1b1b"/>
          <w:sz w:val="27"/>
          <w:szCs w:val="27"/>
          <w:rtl w:val="0"/>
        </w:rPr>
        <w:t xml:space="preserve">It also argued that as a platform, it did not have regulatory responsibility for selecting the bonds and that the fault lay with the DFM Clear Capital Management.</w:t>
      </w:r>
    </w:p>
    <w:p w:rsidR="00000000" w:rsidDel="00000000" w:rsidP="00000000" w:rsidRDefault="00000000" w:rsidRPr="00000000" w14:paraId="00000011">
      <w:pPr>
        <w:spacing w:after="280" w:before="280" w:lineRule="auto"/>
        <w:rPr>
          <w:color w:val="1b1b1b"/>
          <w:sz w:val="27"/>
          <w:szCs w:val="27"/>
        </w:rPr>
      </w:pPr>
      <w:r w:rsidDel="00000000" w:rsidR="00000000" w:rsidRPr="00000000">
        <w:rPr>
          <w:color w:val="1b1b1b"/>
          <w:sz w:val="27"/>
          <w:szCs w:val="27"/>
          <w:rtl w:val="0"/>
        </w:rPr>
        <w:t xml:space="preserve">The case was brought against Royal London in November last year following a tricky time for the M&amp;G Wealth Platform. Almost a year before, M&amp;G had put its platform up for sale, but no buyer has been forthcoming.</w:t>
      </w:r>
    </w:p>
    <w:p w:rsidR="00000000" w:rsidDel="00000000" w:rsidP="00000000" w:rsidRDefault="00000000" w:rsidRPr="00000000" w14:paraId="00000012">
      <w:pPr>
        <w:spacing w:after="280" w:before="280" w:lineRule="auto"/>
        <w:rPr>
          <w:color w:val="1b1b1b"/>
          <w:sz w:val="27"/>
          <w:szCs w:val="27"/>
        </w:rPr>
      </w:pPr>
      <w:r w:rsidDel="00000000" w:rsidR="00000000" w:rsidRPr="00000000">
        <w:rPr>
          <w:color w:val="1b1b1b"/>
          <w:sz w:val="27"/>
          <w:szCs w:val="27"/>
          <w:rtl w:val="0"/>
        </w:rPr>
        <w:t xml:space="preserve">Last September </w:t>
      </w:r>
      <w:hyperlink r:id="rId8">
        <w:r w:rsidDel="00000000" w:rsidR="00000000" w:rsidRPr="00000000">
          <w:rPr>
            <w:color w:val="416ed2"/>
            <w:sz w:val="27"/>
            <w:szCs w:val="27"/>
            <w:rtl w:val="0"/>
          </w:rPr>
          <w:t xml:space="preserve">M&amp;G disclosed it had </w:t>
        </w:r>
      </w:hyperlink>
      <w:r w:rsidDel="00000000" w:rsidR="00000000" w:rsidRPr="00000000">
        <w:rPr>
          <w:color w:val="1b1b1b"/>
          <w:sz w:val="27"/>
          <w:szCs w:val="27"/>
          <w:rtl w:val="0"/>
        </w:rPr>
        <w:t xml:space="preserve">set aside £4.2m to cover complaints made to the Financial Ombudsman Service about the platform, and that the platform’s parent company had seen a £12m write down following big losses. </w:t>
      </w:r>
    </w:p>
    <w:p w:rsidR="00000000" w:rsidDel="00000000" w:rsidP="00000000" w:rsidRDefault="00000000" w:rsidRPr="00000000" w14:paraId="00000013">
      <w:pPr>
        <w:spacing w:after="280" w:before="280" w:lineRule="auto"/>
        <w:rPr>
          <w:color w:val="1b1b1b"/>
          <w:sz w:val="27"/>
          <w:szCs w:val="27"/>
        </w:rPr>
      </w:pPr>
      <w:r w:rsidDel="00000000" w:rsidR="00000000" w:rsidRPr="00000000">
        <w:rPr>
          <w:color w:val="1b1b1b"/>
          <w:sz w:val="27"/>
          <w:szCs w:val="27"/>
          <w:rtl w:val="0"/>
        </w:rPr>
        <w:t xml:space="preserve">Following the results M&amp;G’s CEO</w:t>
      </w:r>
      <w:hyperlink r:id="rId9">
        <w:r w:rsidDel="00000000" w:rsidR="00000000" w:rsidRPr="00000000">
          <w:rPr>
            <w:color w:val="416ed2"/>
            <w:sz w:val="27"/>
            <w:szCs w:val="27"/>
            <w:rtl w:val="0"/>
          </w:rPr>
          <w:t xml:space="preserve"> Andrea Rossi</w:t>
        </w:r>
      </w:hyperlink>
      <w:r w:rsidDel="00000000" w:rsidR="00000000" w:rsidRPr="00000000">
        <w:rPr>
          <w:color w:val="1b1b1b"/>
          <w:sz w:val="27"/>
          <w:szCs w:val="27"/>
          <w:rtl w:val="0"/>
        </w:rPr>
        <w:t xml:space="preserve"> said the wrap would either be sold or wound down, prompting fresh uncertainty about its future. </w:t>
      </w:r>
    </w:p>
    <w:p w:rsidR="00000000" w:rsidDel="00000000" w:rsidP="00000000" w:rsidRDefault="00000000" w:rsidRPr="00000000" w14:paraId="00000014">
      <w:pPr>
        <w:spacing w:after="280" w:before="280" w:lineRule="auto"/>
        <w:rPr>
          <w:color w:val="1b1b1b"/>
          <w:sz w:val="27"/>
          <w:szCs w:val="27"/>
        </w:rPr>
      </w:pPr>
      <w:r w:rsidDel="00000000" w:rsidR="00000000" w:rsidRPr="00000000">
        <w:rPr>
          <w:color w:val="1b1b1b"/>
          <w:sz w:val="27"/>
          <w:szCs w:val="27"/>
          <w:rtl w:val="0"/>
        </w:rPr>
        <w:t xml:space="preserve">However, in April of this year M&amp;G Wealth Platform CEO Rich Denning ended uncertainty by</w:t>
      </w:r>
      <w:hyperlink r:id="rId10">
        <w:r w:rsidDel="00000000" w:rsidR="00000000" w:rsidRPr="00000000">
          <w:rPr>
            <w:color w:val="416ed2"/>
            <w:sz w:val="27"/>
            <w:szCs w:val="27"/>
            <w:rtl w:val="0"/>
          </w:rPr>
          <w:t xml:space="preserve"> confirming there are ‘no plans’ </w:t>
        </w:r>
      </w:hyperlink>
      <w:r w:rsidDel="00000000" w:rsidR="00000000" w:rsidRPr="00000000">
        <w:rPr>
          <w:color w:val="1b1b1b"/>
          <w:sz w:val="27"/>
          <w:szCs w:val="27"/>
          <w:rtl w:val="0"/>
        </w:rPr>
        <w:t xml:space="preserve">to wind it down.</w:t>
      </w:r>
    </w:p>
    <w:p w:rsidR="00000000" w:rsidDel="00000000" w:rsidP="00000000" w:rsidRDefault="00000000" w:rsidRPr="00000000" w14:paraId="00000015">
      <w:pPr>
        <w:spacing w:after="280" w:before="280" w:lineRule="auto"/>
        <w:rPr>
          <w:color w:val="1b1b1b"/>
          <w:sz w:val="27"/>
          <w:szCs w:val="27"/>
        </w:rPr>
      </w:pPr>
      <w:r w:rsidDel="00000000" w:rsidR="00000000" w:rsidRPr="00000000">
        <w:rPr>
          <w:color w:val="1b1b1b"/>
          <w:sz w:val="27"/>
          <w:szCs w:val="27"/>
          <w:rtl w:val="0"/>
        </w:rPr>
        <w:t xml:space="preserve">It is understood that new business is now ‘steadily coming back’, according to one platform source. </w:t>
      </w:r>
    </w:p>
    <w:p w:rsidR="00000000" w:rsidDel="00000000" w:rsidP="00000000" w:rsidRDefault="00000000" w:rsidRPr="00000000" w14:paraId="0000001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citywire.com/new-model-adviser/news/m-and-gs-denning-there-are-no-plans-to-wind-down-the-platform/a2464220?utm_medium=website&amp;utm_source=citywire_nma&amp;utm_campaign=article-in-body" TargetMode="External"/><Relationship Id="rId9" Type="http://schemas.openxmlformats.org/officeDocument/2006/relationships/hyperlink" Target="https://citywire.com/new-model-adviser/news/what-does-a-wind-down-look-like-m-and-g-s-platform-exit-options/a2449353?utm_medium=website&amp;utm_source=citywire_nma&amp;utm_campaign=article-in-body" TargetMode="External"/><Relationship Id="rId5" Type="http://schemas.openxmlformats.org/officeDocument/2006/relationships/styles" Target="styles.xml"/><Relationship Id="rId6" Type="http://schemas.openxmlformats.org/officeDocument/2006/relationships/hyperlink" Target="https://citywire.com/new-model-adviser/news/m-and-g-sues-royal-london-over-86m-ascentric-purchase/a2456965?utm_medium=website&amp;utm_source=citywire_nma&amp;utm_campaign=article-in-body" TargetMode="External"/><Relationship Id="rId7" Type="http://schemas.openxmlformats.org/officeDocument/2006/relationships/hyperlink" Target="https://citywire.com/new-model-adviser/news/royal-london-defends-mini-bond-due-diligence-in-27m-m-and-g-lawsuit/a2458594?utm_medium=website&amp;utm_source=citywire_nma&amp;utm_campaign=article-in-body" TargetMode="External"/><Relationship Id="rId8" Type="http://schemas.openxmlformats.org/officeDocument/2006/relationships/hyperlink" Target="https://citywire.com/new-model-adviser/news/m-and-g-writes-down-adviser-platform-by-12m-ahead-of-exit/a2449982?utm_medium=website&amp;utm_source=citywire_nma&amp;utm_campaign=article-in-bod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