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gxdq4z3a7xla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posts 14% rise in protection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reported a 14% increase in new protection sales to £455m for the first half of this year, compared to £399m for the same period in 2024.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interim results today, the mutual said it paid 98.5% of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protection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claims in the six months to the end of June.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Payouts to 33,000 customers and their families totalled £415m for the first half, compared to £355m in the same period last year.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Overall, the life and pension provider’s operating profit before tax rose 15% year on year to £166m for the first half.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Group chief executive Barry O’Dwyer says: “For six years running, Royal London has been the most preferred personal pension provider by financial advisers, testament to the strength and quality of our customer propositions.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“When most of our competitors perform well, they reward their shareholders with higher dividends.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“Royal London is a mutual with no shareholders so when we perform well, our eligible customers benefit through ProfitShare.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April, we demonstrated the value of mutuality by sharing £181m with 2.3m customers through our ProfitShare scheme.”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trategy.co.uk/news/royal-london-appoints-mehta-to-protection-proposition-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