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wq6o6khad7h0" w:id="0"/>
      <w:bookmarkEnd w:id="0"/>
      <w:r w:rsidDel="00000000" w:rsidR="00000000" w:rsidRPr="00000000">
        <w:rPr>
          <w:b w:val="1"/>
          <w:bCs w:val="1"/>
          <w:color w:val="1b1b1b"/>
          <w:sz w:val="90"/>
          <w:szCs w:val="90"/>
          <w:rtl w:val="0"/>
        </w:rPr>
        <w:t xml:space="preserve">Royal London swaps JP Morgan for Artemis SmartGARP on EM mandate</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3v23oq3t7z52" w:id="1"/>
      <w:bookmarkEnd w:id="1"/>
      <w:r w:rsidDel="00000000" w:rsidR="00000000" w:rsidRPr="00000000">
        <w:rPr>
          <w:sz w:val="50"/>
          <w:szCs w:val="50"/>
          <w:rtl w:val="0"/>
        </w:rPr>
        <w:t xml:space="preserve">Provider has switched the mandate for its RLP Emerging Markets Core Plus fund from JP Morgan to Artemis.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Royal London will drop JP Morgan from an emerging markets fund mandate after ‘a period of sustained underperformance’, the pension provider wrote in a letter to clients.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RLP Emerging Markets Core Plus fund - which is part of Royal London’s Matrix range, and currently around £20m in size - is giving its mandate to the </w:t>
      </w:r>
      <w:hyperlink r:id="rId6">
        <w:r w:rsidDel="00000000" w:rsidR="00000000" w:rsidRPr="00000000">
          <w:rPr>
            <w:color w:val="416ed2"/>
            <w:sz w:val="27"/>
            <w:szCs w:val="27"/>
            <w:rtl w:val="0"/>
          </w:rPr>
          <w:t xml:space="preserve">Artemis SmartGARP Global Emerging Markets Equity</w:t>
        </w:r>
      </w:hyperlink>
      <w:r w:rsidDel="00000000" w:rsidR="00000000" w:rsidRPr="00000000">
        <w:rPr>
          <w:color w:val="1b1b1b"/>
          <w:sz w:val="27"/>
          <w:szCs w:val="27"/>
          <w:rtl w:val="0"/>
        </w:rPr>
        <w:t xml:space="preserve"> fund in November.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All the firm’s current holdings in the </w:t>
      </w:r>
      <w:hyperlink r:id="rId7">
        <w:r w:rsidDel="00000000" w:rsidR="00000000" w:rsidRPr="00000000">
          <w:rPr>
            <w:color w:val="416ed2"/>
            <w:sz w:val="27"/>
            <w:szCs w:val="27"/>
            <w:rtl w:val="0"/>
          </w:rPr>
          <w:t xml:space="preserve">JPM Emerging Markets </w:t>
        </w:r>
      </w:hyperlink>
      <w:r w:rsidDel="00000000" w:rsidR="00000000" w:rsidRPr="00000000">
        <w:rPr>
          <w:color w:val="1b1b1b"/>
          <w:sz w:val="27"/>
          <w:szCs w:val="27"/>
          <w:rtl w:val="0"/>
        </w:rPr>
        <w:t xml:space="preserve">fund will be divested and moved to the Artemis fund, while new Matrix clients will also be directed to Artemis.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In a letter to investors sent out this month, Royal London said the JP Morgan fund had ‘experienced a period of sustained underperformance ... therefore we have decided to make a change to the underlying fund’.</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‘After extensive analysis into alternative funds, our independently led investment advisory committee, which oversees our investment range, has decided to replace it with the Artemis SmartGARP Emerging Market Equity Fund,’ the letter continued.</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Having trailed the MSCI Emerging Markets Index since late 2021, the JP Morgan fund ranks 226nd out of 332 comparable emerging markets equity funds in Citywire’s rankings for performance over the last three years.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In contrast, Royal London’s move is the latest in a blockbuster year for the £1.8bn Artemis fund, which has seen net flows of £450m already this year. SmartGARP – or ‘growth at a reasonable price’ – screens companies by identifying those that are faster growing but undervalued. The approach has proved popular in recent months, as investors wary of high valuations look for opportunities.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Citywire A-rated manager </w:t>
      </w:r>
      <w:hyperlink r:id="rId8">
        <w:r w:rsidDel="00000000" w:rsidR="00000000" w:rsidRPr="00000000">
          <w:rPr>
            <w:color w:val="416ed2"/>
            <w:sz w:val="27"/>
            <w:szCs w:val="27"/>
            <w:rtl w:val="0"/>
          </w:rPr>
          <w:t xml:space="preserve">Raheel Altaf</w:t>
        </w:r>
      </w:hyperlink>
      <w:r w:rsidDel="00000000" w:rsidR="00000000" w:rsidRPr="00000000">
        <w:rPr>
          <w:color w:val="1b1b1b"/>
          <w:sz w:val="27"/>
          <w:szCs w:val="27"/>
          <w:rtl w:val="0"/>
        </w:rPr>
        <w:t xml:space="preserve"> (pictured) manages the fund.</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JP Morgan fund, which is managed by </w:t>
      </w:r>
      <w:hyperlink r:id="rId9">
        <w:r w:rsidDel="00000000" w:rsidR="00000000" w:rsidRPr="00000000">
          <w:rPr>
            <w:color w:val="416ed2"/>
            <w:sz w:val="27"/>
            <w:szCs w:val="27"/>
            <w:rtl w:val="0"/>
          </w:rPr>
          <w:t xml:space="preserve">Leon Eidelman</w:t>
        </w:r>
      </w:hyperlink>
      <w:r w:rsidDel="00000000" w:rsidR="00000000" w:rsidRPr="00000000">
        <w:rPr>
          <w:color w:val="1b1b1b"/>
          <w:sz w:val="27"/>
          <w:szCs w:val="27"/>
          <w:rtl w:val="0"/>
        </w:rPr>
        <w:t xml:space="preserve"> and </w:t>
      </w:r>
      <w:hyperlink r:id="rId10">
        <w:r w:rsidDel="00000000" w:rsidR="00000000" w:rsidRPr="00000000">
          <w:rPr>
            <w:color w:val="416ed2"/>
            <w:sz w:val="27"/>
            <w:szCs w:val="27"/>
            <w:rtl w:val="0"/>
          </w:rPr>
          <w:t xml:space="preserve">Austin Forey</w:t>
        </w:r>
      </w:hyperlink>
      <w:r w:rsidDel="00000000" w:rsidR="00000000" w:rsidRPr="00000000">
        <w:rPr>
          <w:color w:val="1b1b1b"/>
          <w:sz w:val="27"/>
          <w:szCs w:val="27"/>
          <w:rtl w:val="0"/>
        </w:rPr>
        <w:t xml:space="preserve">, remains a healthy £2.3bn. This most recent mandate loss does add to a rocky few months of flows for the fund though, as investors have pulled £134m so far this year.</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itywire.com/new-model-adviser/manager/austin-forey/d390?utm_medium=website&amp;utm_source=citywire_nma&amp;utm_campaign=article-in-body" TargetMode="External"/><Relationship Id="rId9" Type="http://schemas.openxmlformats.org/officeDocument/2006/relationships/hyperlink" Target="https://citywire.com/new-model-adviser/manager/leon-eidelman/d11210?utm_medium=website&amp;utm_source=citywire_nma&amp;utm_campaign=article-in-body" TargetMode="External"/><Relationship Id="rId5" Type="http://schemas.openxmlformats.org/officeDocument/2006/relationships/styles" Target="styles.xml"/><Relationship Id="rId6" Type="http://schemas.openxmlformats.org/officeDocument/2006/relationships/hyperlink" Target="https://citywire.com/new-model-adviser/fund/artemis-smartgarp-global-emerging-markets-equity-fund/c510208?utm_medium=website&amp;utm_source=citywire_nma&amp;utm_campaign=article-in-body" TargetMode="External"/><Relationship Id="rId7" Type="http://schemas.openxmlformats.org/officeDocument/2006/relationships/hyperlink" Target="https://citywire.com/new-model-adviser/fund/jpm-emerging-markets-fund/c9627?utm_medium=website&amp;utm_source=citywire_nma&amp;utm_campaign=article-in-body" TargetMode="External"/><Relationship Id="rId8" Type="http://schemas.openxmlformats.org/officeDocument/2006/relationships/hyperlink" Target="https://citywire.com/new-model-adviser/manager/raheel-altaf/d16258?utm_medium=website&amp;utm_source=citywire_nma&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