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rx5hkzj4utpp" w:id="0"/>
      <w:bookmarkEnd w:id="0"/>
      <w:r w:rsidDel="00000000" w:rsidR="00000000" w:rsidRPr="00000000">
        <w:rPr>
          <w:b w:val="1"/>
          <w:bCs w:val="1"/>
          <w:color w:val="1b1b1b"/>
          <w:sz w:val="90"/>
          <w:szCs w:val="90"/>
          <w:rtl w:val="0"/>
        </w:rPr>
        <w:t xml:space="preserve">Royal London to add private credit to £75bn Governed Range</w:t>
      </w:r>
    </w:p>
    <w:p w:rsidR="00000000" w:rsidDel="00000000" w:rsidP="00000000" w:rsidRDefault="00000000" w:rsidRPr="00000000" w14:paraId="00000002">
      <w:pPr>
        <w:spacing w:after="280" w:lineRule="auto"/>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spacing w:after="280" w:lineRule="auto"/>
        <w:rPr>
          <w:color w:val="1b1b1b"/>
          <w:sz w:val="27"/>
          <w:szCs w:val="27"/>
        </w:rPr>
      </w:pPr>
      <w:r w:rsidDel="00000000" w:rsidR="00000000" w:rsidRPr="00000000">
        <w:rPr>
          <w:color w:val="1b1b1b"/>
          <w:sz w:val="27"/>
          <w:szCs w:val="27"/>
          <w:rtl w:val="0"/>
        </w:rPr>
        <w:t xml:space="preserve"> Summary</w:t>
      </w:r>
    </w:p>
    <w:p w:rsidR="00000000" w:rsidDel="00000000" w:rsidP="00000000" w:rsidRDefault="00000000" w:rsidRPr="00000000" w14:paraId="00000004">
      <w:pPr>
        <w:spacing w:after="280" w:lineRule="auto"/>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vvimj3qkbdtc" w:id="1"/>
      <w:bookmarkEnd w:id="1"/>
      <w:r w:rsidDel="00000000" w:rsidR="00000000" w:rsidRPr="00000000">
        <w:rPr>
          <w:sz w:val="50"/>
          <w:szCs w:val="50"/>
          <w:rtl w:val="0"/>
        </w:rPr>
        <w:t xml:space="preserve">The move continues the provider's push into private markets.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Royal London is planning to include private credit within its flagship Governed Range, as the provider’s asset management arm expands further into private markets.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‘We will integrate private asset capability and private credit capability into the Governed Range,’ chief executive Barry O’Dywer told Citywire New Model Adviser. ‘We are at the early stages of that, but you’ll see more activity in that over the next 12 or 18 months.’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O’Dwyer’s comments came after the announcement of Royal London’s half-year results for 2025, which saw net inflows of £1.6bn into the Governed Range, in which the majority of the firm’s pension clients invest, helping to swell its assets under management to £75bn.</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mooted push into private credit comes after the launch of two asset-backed securities funds earlier this year, and May’s announcement of the planned acquisition of specialist infrastructure investor Dalmore Capital.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Royal London joined other pension providers earlier this year in signing up to the </w:t>
      </w:r>
      <w:hyperlink r:id="rId6">
        <w:r w:rsidDel="00000000" w:rsidR="00000000" w:rsidRPr="00000000">
          <w:rPr>
            <w:color w:val="416ed2"/>
            <w:sz w:val="27"/>
            <w:szCs w:val="27"/>
            <w:rtl w:val="0"/>
          </w:rPr>
          <w:t xml:space="preserve">government’s Mansion House Accord</w:t>
        </w:r>
      </w:hyperlink>
      <w:r w:rsidDel="00000000" w:rsidR="00000000" w:rsidRPr="00000000">
        <w:rPr>
          <w:color w:val="1b1b1b"/>
          <w:sz w:val="27"/>
          <w:szCs w:val="27"/>
          <w:rtl w:val="0"/>
        </w:rPr>
        <w:t xml:space="preserve">, which commits workplace pension schemes to allocate 10% of default funds to private markets by the end of the decade.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O’Dwyer said the Accord was not behind Royal London’s private markets push, however.</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‘So much of the world’s assets now are privately managed and therefore you can’t give customers the full range of investments if you just stick to public markets,’ O’Dwyer said. ‘It just so happens that that coincides with what the government is trying to achieve with Mansion House, which is nice and good, but that wasn’t driving what we were doing.’</w:t>
      </w:r>
    </w:p>
    <w:p w:rsidR="00000000" w:rsidDel="00000000" w:rsidP="00000000" w:rsidRDefault="00000000" w:rsidRPr="00000000" w14:paraId="0000000D">
      <w:pPr>
        <w:pStyle w:val="Heading2"/>
        <w:keepNext w:val="0"/>
        <w:keepLines w:val="0"/>
        <w:spacing w:after="80" w:lineRule="auto"/>
        <w:rPr>
          <w:b w:val="1"/>
          <w:bCs w:val="1"/>
          <w:color w:val="1b1b1b"/>
          <w:sz w:val="49"/>
          <w:szCs w:val="49"/>
        </w:rPr>
      </w:pPr>
      <w:bookmarkStart w:colFirst="0" w:colLast="0" w:name="_rufcvvllw9lv" w:id="2"/>
      <w:bookmarkEnd w:id="2"/>
      <w:r w:rsidDel="00000000" w:rsidR="00000000" w:rsidRPr="00000000">
        <w:rPr>
          <w:b w:val="1"/>
          <w:bCs w:val="1"/>
          <w:color w:val="1b1b1b"/>
          <w:sz w:val="49"/>
          <w:szCs w:val="49"/>
          <w:rtl w:val="0"/>
        </w:rPr>
        <w:t xml:space="preserve">Net inflows driven by new SJP mandate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Flows were strong across Royal London, with new inflows of £4.1bn driven in large part after a mandate award from St James’s Place to run the firm’s £4.6bn Strategic Managed fund.</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new mandate compensated for </w:t>
      </w:r>
      <w:hyperlink r:id="rId7">
        <w:r w:rsidDel="00000000" w:rsidR="00000000" w:rsidRPr="00000000">
          <w:rPr>
            <w:color w:val="416ed2"/>
            <w:sz w:val="27"/>
            <w:szCs w:val="27"/>
            <w:rtl w:val="0"/>
          </w:rPr>
          <w:t xml:space="preserve">significant losses from</w:t>
        </w:r>
      </w:hyperlink>
      <w:r w:rsidDel="00000000" w:rsidR="00000000" w:rsidRPr="00000000">
        <w:rPr>
          <w:color w:val="1b1b1b"/>
          <w:sz w:val="27"/>
          <w:szCs w:val="27"/>
          <w:rtl w:val="0"/>
        </w:rPr>
        <w:t xml:space="preserve"> the provider’s global equities team, which saw further net outflows of £1.7bn, compounding outflows of £4.3bn from the funds last year, after the high-profile departure of the asset manager’s head of equities Peter Rutter in 2024.</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Assets under management across Royal London’s funds grew to £181bn. RLAM’s contribution to that figure reduced, however, as a result of the outflows from the global equities team.</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O’Dwyer said that there are no plans to change the make-up of the global equities team.</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‘We’re happy with the way that the team is constructed. Obviously, whenever you get a change of personnel like we had last year, then you get some disruption, and you get some clients leaving. But no, the team is in great shape,’ the CEO said.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Elsewhere, the mutual’s headline figures were strong, with pre-tax profits up 15% to £166m.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how-pensions-stack-up-in-the-race-to-meet-uk-private-assets-targets/a2465799?utm_medium=website&amp;utm_source=citywire_nma&amp;utm_campaign=article-in-body" TargetMode="External"/><Relationship Id="rId7" Type="http://schemas.openxmlformats.org/officeDocument/2006/relationships/hyperlink" Target="https://citywire.com/new-model-adviser/news/investors-pull-4-3bn-from-royal-london-after-top-manager-exit/a2461202?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