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460" w:before="0" w:line="291.38399999999996" w:lineRule="auto"/>
        <w:rPr>
          <w:b w:val="1"/>
          <w:bCs w:val="1"/>
          <w:color w:val="1b1b1b"/>
          <w:sz w:val="90"/>
          <w:szCs w:val="90"/>
        </w:rPr>
      </w:pPr>
      <w:bookmarkStart w:colFirst="0" w:colLast="0" w:name="_pnkr9hs7kfp7" w:id="0"/>
      <w:bookmarkEnd w:id="0"/>
      <w:r w:rsidDel="00000000" w:rsidR="00000000" w:rsidRPr="00000000">
        <w:rPr>
          <w:b w:val="1"/>
          <w:bCs w:val="1"/>
          <w:color w:val="1b1b1b"/>
          <w:sz w:val="90"/>
          <w:szCs w:val="90"/>
          <w:rtl w:val="0"/>
        </w:rPr>
        <w:t xml:space="preserve">Royal London sees AUM grow after SJP mandate win</w:t>
      </w:r>
    </w:p>
    <w:p w:rsidR="00000000" w:rsidDel="00000000" w:rsidP="00000000" w:rsidRDefault="00000000" w:rsidRPr="00000000" w14:paraId="00000002">
      <w:pPr>
        <w:spacing w:after="320" w:before="0" w:lineRule="auto"/>
        <w:rPr>
          <w:sz w:val="17"/>
          <w:szCs w:val="1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Tara O'Connor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Royal London saw assets under management grow by £7.3bn in the first half of 2025 — largely driven by the firm winning a £4.6bn multi-asset mandate from St James’s Place. </w:t>
      </w:r>
    </w:p>
    <w:p w:rsidR="00000000" w:rsidDel="00000000" w:rsidP="00000000" w:rsidRDefault="00000000" w:rsidRPr="00000000" w14:paraId="00000004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This was despite Royal London Asset Management recording net outflows of £1.8bn in global equities as a result of the departure of members of the team in 2024. </w:t>
      </w:r>
    </w:p>
    <w:p w:rsidR="00000000" w:rsidDel="00000000" w:rsidP="00000000" w:rsidRDefault="00000000" w:rsidRPr="00000000" w14:paraId="00000005">
      <w:pPr>
        <w:spacing w:after="280" w:before="280" w:lineRule="auto"/>
        <w:rPr>
          <w:color w:val="1b1b1b"/>
          <w:sz w:val="27"/>
          <w:szCs w:val="27"/>
        </w:rPr>
      </w:pPr>
      <w:hyperlink r:id="rId6">
        <w:r w:rsidDel="00000000" w:rsidR="00000000" w:rsidRPr="00000000">
          <w:rPr>
            <w:color w:val="416ed2"/>
            <w:sz w:val="27"/>
            <w:szCs w:val="27"/>
            <w:rtl w:val="0"/>
          </w:rPr>
          <w:t xml:space="preserve">Head of equities Peter Rutter </w:t>
        </w:r>
      </w:hyperlink>
      <w:r w:rsidDel="00000000" w:rsidR="00000000" w:rsidRPr="00000000">
        <w:rPr>
          <w:color w:val="1b1b1b"/>
          <w:sz w:val="27"/>
          <w:szCs w:val="27"/>
          <w:rtl w:val="0"/>
        </w:rPr>
        <w:t xml:space="preserve">left, along with members of his team and £1.6bn, to set up his own shop in partnership with Pinnacle Asset Management.</w:t>
      </w:r>
    </w:p>
    <w:p w:rsidR="00000000" w:rsidDel="00000000" w:rsidP="00000000" w:rsidRDefault="00000000" w:rsidRPr="00000000" w14:paraId="00000006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It was </w:t>
      </w:r>
      <w:hyperlink r:id="rId7">
        <w:r w:rsidDel="00000000" w:rsidR="00000000" w:rsidRPr="00000000">
          <w:rPr>
            <w:color w:val="416ed2"/>
            <w:sz w:val="27"/>
            <w:szCs w:val="27"/>
            <w:rtl w:val="0"/>
          </w:rPr>
          <w:t xml:space="preserve">announced in February</w:t>
        </w:r>
      </w:hyperlink>
      <w:r w:rsidDel="00000000" w:rsidR="00000000" w:rsidRPr="00000000">
        <w:rPr>
          <w:color w:val="1b1b1b"/>
          <w:sz w:val="27"/>
          <w:szCs w:val="27"/>
          <w:rtl w:val="0"/>
        </w:rPr>
        <w:t xml:space="preserve"> that Royal London would take on the running of SJP’s £4.6bn Strategic Managed Fund which was previously run by Columbia Threadneedle. </w:t>
      </w:r>
    </w:p>
    <w:p w:rsidR="00000000" w:rsidDel="00000000" w:rsidP="00000000" w:rsidRDefault="00000000" w:rsidRPr="00000000" w14:paraId="00000007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The group’s half-year results, published today (August 8) showed that overall, operating profit increased by 15 per cent to £166mn, compared with £144mn in the first half of 2024. </w:t>
      </w:r>
    </w:p>
    <w:p w:rsidR="00000000" w:rsidDel="00000000" w:rsidP="00000000" w:rsidRDefault="00000000" w:rsidRPr="00000000" w14:paraId="00000008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Barry O’Dwyer, group CEO, said: “For six years running, Royal London has been the most preferred personal pension provider by financial advisers, a testament to the strength and quality of our customer propositions.</w:t>
      </w:r>
    </w:p>
    <w:p w:rsidR="00000000" w:rsidDel="00000000" w:rsidP="00000000" w:rsidRDefault="00000000" w:rsidRPr="00000000" w14:paraId="00000009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“Our new bulk purchase annuity offering, the only mutual option in the market, is also resonating well with trustees and advisers as we completed eight buy-in transactions in the first half of this year.</w:t>
      </w:r>
    </w:p>
    <w:p w:rsidR="00000000" w:rsidDel="00000000" w:rsidP="00000000" w:rsidRDefault="00000000" w:rsidRPr="00000000" w14:paraId="0000000A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“Support from financial advisers has meant our governed range attracted £1.6bn of net inflows in the first half of the year.”</w:t>
      </w:r>
    </w:p>
    <w:p w:rsidR="00000000" w:rsidDel="00000000" w:rsidP="00000000" w:rsidRDefault="00000000" w:rsidRPr="00000000" w14:paraId="0000000B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Article continues after advert</w:t>
      </w:r>
    </w:p>
    <w:p w:rsidR="00000000" w:rsidDel="00000000" w:rsidP="00000000" w:rsidRDefault="00000000" w:rsidRPr="00000000" w14:paraId="0000000C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In May it was announced that </w:t>
      </w:r>
      <w:hyperlink r:id="rId8">
        <w:r w:rsidDel="00000000" w:rsidR="00000000" w:rsidRPr="00000000">
          <w:rPr>
            <w:color w:val="416ed2"/>
            <w:sz w:val="27"/>
            <w:szCs w:val="27"/>
            <w:rtl w:val="0"/>
          </w:rPr>
          <w:t xml:space="preserve">Royal London would buy</w:t>
        </w:r>
      </w:hyperlink>
      <w:r w:rsidDel="00000000" w:rsidR="00000000" w:rsidRPr="00000000">
        <w:rPr>
          <w:color w:val="1b1b1b"/>
          <w:sz w:val="27"/>
          <w:szCs w:val="27"/>
          <w:rtl w:val="0"/>
        </w:rPr>
        <w:t xml:space="preserve"> the UK-based infrastructure asset manager Dalmore Capital, which manages around £6bn of assets across five flagship funds. </w:t>
      </w:r>
    </w:p>
    <w:p w:rsidR="00000000" w:rsidDel="00000000" w:rsidP="00000000" w:rsidRDefault="00000000" w:rsidRPr="00000000" w14:paraId="0000000D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The results said: “By acquiring Dalmore, we are taking another step in building our private assets capability, broadening our investment proposition and expanding and diversifying our client base.”</w:t>
      </w:r>
    </w:p>
    <w:p w:rsidR="00000000" w:rsidDel="00000000" w:rsidP="00000000" w:rsidRDefault="00000000" w:rsidRPr="00000000" w14:paraId="0000000E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In the period, life and pensions new business sales were up 17 per cent to £5.8bn which Royal London said was supported by an uplift from bulk purchase annuity sales.</w:t>
      </w:r>
    </w:p>
    <w:p w:rsidR="00000000" w:rsidDel="00000000" w:rsidP="00000000" w:rsidRDefault="00000000" w:rsidRPr="00000000" w14:paraId="0000000F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Royal London also welcomed the Financial Conduct Authority’s review into targeted support and said it has seen an increasing demand for guidance. </w:t>
      </w:r>
    </w:p>
    <w:p w:rsidR="00000000" w:rsidDel="00000000" w:rsidP="00000000" w:rsidRDefault="00000000" w:rsidRPr="00000000" w14:paraId="00000010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Before this is rolled out, the firm said it has strengthened its digital customer proposition offering more self-serve capabilities and tools through its mobile app. </w:t>
      </w:r>
    </w:p>
    <w:p w:rsidR="00000000" w:rsidDel="00000000" w:rsidP="00000000" w:rsidRDefault="00000000" w:rsidRPr="00000000" w14:paraId="00000011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In the first half of 2025, more than 160,000 customers engaged with Royal London’s online guidance tools. </w:t>
      </w:r>
    </w:p>
    <w:p w:rsidR="00000000" w:rsidDel="00000000" w:rsidP="00000000" w:rsidRDefault="00000000" w:rsidRPr="00000000" w14:paraId="00000012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The group has also grown the number of users actively engaging with its mobile app to 447,000 — an increase of 50,000 since the end of 2024.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ftadviser.com/asset-allocator/2024/05/14/rutter-exits-royal-london-and-takes-1-6bn-with-him/" TargetMode="External"/><Relationship Id="rId7" Type="http://schemas.openxmlformats.org/officeDocument/2006/relationships/hyperlink" Target="https://www.ftadviser.com/st-jamess-place-plc/2025/2/26/royal-london-to-run-4-6bn-multi-asset-mandate-for-sjp/" TargetMode="External"/><Relationship Id="rId8" Type="http://schemas.openxmlformats.org/officeDocument/2006/relationships/hyperlink" Target="https://www.ftadviser.com/advice-businesses/2025/5/22/royal-london-to-buy-dalmore-capital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