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s02kgsh9ynca" w:id="0"/>
      <w:bookmarkEnd w:id="0"/>
      <w:r w:rsidDel="00000000" w:rsidR="00000000" w:rsidRPr="00000000">
        <w:rPr>
          <w:b w:val="1"/>
          <w:bCs w:val="1"/>
          <w:color w:val="1b1b1b"/>
          <w:sz w:val="90"/>
          <w:szCs w:val="90"/>
          <w:rtl w:val="0"/>
        </w:rPr>
        <w:t xml:space="preserve">Royal London has posted net inflows of £4.1bn which it said has been boosted by the £4.6bn multi-asset mandate it received from St James’s Place (SJP) earlier this year.</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In its half year results released this morning (8 August), the provider saw gross inflows rise to £22.4bn, up from £16.3bn in H1 2024, and net inflows increase to £4.1bn, compared to £1bn in H1 2024.</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Royal London said this was "boosted" by the </w:t>
      </w:r>
      <w:hyperlink r:id="rId6">
        <w:r w:rsidDel="00000000" w:rsidR="00000000" w:rsidRPr="00000000">
          <w:rPr>
            <w:color w:val="416ed2"/>
            <w:sz w:val="27"/>
            <w:szCs w:val="27"/>
            <w:rtl w:val="0"/>
          </w:rPr>
          <w:t xml:space="preserve">£4.6bn multi-asset mandate with SJP</w:t>
        </w:r>
      </w:hyperlink>
      <w:r w:rsidDel="00000000" w:rsidR="00000000" w:rsidRPr="00000000">
        <w:rPr>
          <w:color w:val="1b1b1b"/>
          <w:sz w:val="27"/>
          <w:szCs w:val="27"/>
          <w:rtl w:val="0"/>
        </w:rPr>
        <w:t xml:space="preserve"> in February this year.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Assets under management increased to £181bn, up from £173bn as of 31 December 2024, which the provider said was a result of the net inflows and positive market movements of £3.2bn.</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Meanwhile, Royal London saw operating profit before tax increase by 15% to £166m, up from £144m in H1 2024, which the provider attributed to higher protection new business and sales of its bulk purchase annuity (BPA) proposition.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"We entered the bulk purchase annuity market for the first time in Q4 last year, and that is coming through in our numbers," Royal London group CEO Barry O'Dwyer said. "We have some really strong flows in our lab, which are also boosting results."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Protection new business sales were up 14% to £455m, up from £399m in 2024. Royal London also reported that it paid 98.5% of protection claims, delivering £415m to 33,000 customers and their families.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also completed eight BPA buy-ins in the first half of the year securing £658m of premiums. Further premiums of £142m were secured to date in the second half of the year, with total premiums since launch hitting its £1bn milestone.</w:t>
      </w:r>
    </w:p>
    <w:p w:rsidR="00000000" w:rsidDel="00000000" w:rsidP="00000000" w:rsidRDefault="00000000" w:rsidRPr="00000000" w14:paraId="00000009">
      <w:pPr>
        <w:spacing w:after="280" w:before="280" w:lineRule="auto"/>
        <w:rPr>
          <w:color w:val="416ed2"/>
          <w:sz w:val="27"/>
          <w:szCs w:val="27"/>
        </w:rPr>
      </w:pPr>
      <w:r w:rsidDel="00000000" w:rsidR="00000000" w:rsidRPr="00000000">
        <w:rPr>
          <w:color w:val="1b1b1b"/>
          <w:sz w:val="27"/>
          <w:szCs w:val="27"/>
          <w:rtl w:val="0"/>
        </w:rPr>
        <w:t xml:space="preserve">Royal London highlighted that it "expanded" its private assets capabilities, including the launch of two asset-backed securities funds and, subject to regulatory approval, the </w:t>
      </w:r>
      <w:hyperlink r:id="rId7">
        <w:r w:rsidDel="00000000" w:rsidR="00000000" w:rsidRPr="00000000">
          <w:rPr>
            <w:color w:val="416ed2"/>
            <w:sz w:val="27"/>
            <w:szCs w:val="27"/>
            <w:rtl w:val="0"/>
          </w:rPr>
          <w:t xml:space="preserve">acquisition of infrastructure asset manager Dalmore Capital.</w:t>
        </w:r>
      </w:hyperlink>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Some 86% of its actively managed funds outperformed their three-year benchmark on an equally weighted basis and 56% outperformed on an AUM weighted basis.</w:t>
      </w:r>
    </w:p>
    <w:p w:rsidR="00000000" w:rsidDel="00000000" w:rsidP="00000000" w:rsidRDefault="00000000" w:rsidRPr="00000000" w14:paraId="0000000B">
      <w:pPr>
        <w:spacing w:after="280" w:before="280" w:lineRule="auto"/>
        <w:rPr>
          <w:b w:val="1"/>
          <w:bCs w:val="1"/>
          <w:color w:val="416ed2"/>
          <w:sz w:val="27"/>
          <w:szCs w:val="27"/>
        </w:rPr>
      </w:pPr>
      <w:hyperlink r:id="rId8">
        <w:r w:rsidDel="00000000" w:rsidR="00000000" w:rsidRPr="00000000">
          <w:rPr>
            <w:b w:val="1"/>
            <w:bCs w:val="1"/>
            <w:color w:val="416ed2"/>
            <w:sz w:val="27"/>
            <w:szCs w:val="27"/>
            <w:rtl w:val="0"/>
          </w:rPr>
          <w:t xml:space="preserve">Royal London to take over Dalmore Capital</w:t>
        </w:r>
      </w:hyperlink>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1b1b1b"/>
          <w:sz w:val="33"/>
          <w:szCs w:val="33"/>
        </w:rPr>
      </w:pPr>
      <w:bookmarkStart w:colFirst="0" w:colLast="0" w:name="_wi7c9vdgot79" w:id="1"/>
      <w:bookmarkEnd w:id="1"/>
      <w:r w:rsidDel="00000000" w:rsidR="00000000" w:rsidRPr="00000000">
        <w:rPr>
          <w:b w:val="1"/>
          <w:bCs w:val="1"/>
          <w:color w:val="1b1b1b"/>
          <w:sz w:val="33"/>
          <w:szCs w:val="33"/>
          <w:rtl w:val="0"/>
        </w:rPr>
        <w:t xml:space="preserve">Benefit from national pension conversation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O'Dwyer said the provider has "benefited" from an uptick in the national conversation around pensions.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"We've also benefited from people being worried about inheritance tax (IHT), because when they are, they go and see an expert financial adviser, and that's good news for us," he said.</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O'Dwyer noted that when the IHT on pension proposals were first unveiled, there was a "good deal" of uncertainty about the changes.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"Most people – most advisers – probably think the government's conclusion wasn't right, but at least now there is certainty about how it is going to work," he said. "The changes prompted people to speak to their advisers, even though there's not much you can do about IHT being imposed on pension funds."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O'Dwyer continued: "It started a conversation about: How do I mitigate this? How do I protect myself? How do I buy products that will pay my IHT when I die?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"That has very definitely fuelled protection sales, and we can see it in our numbers. I think it will be the same across the major protection providers."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CEO said that protection "was always going to get a boost" after Consumer Duty, because advisers "cannot walk past" foreseeable harm.</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easiest foreseeable harm is someone being left with an IHT bill when they die," O'Dwyer said. "We were already bullish on the prospects for protection, but an additional benefit has been people's concern leading them to seek advice and put plans in place."</w:t>
      </w:r>
    </w:p>
    <w:p w:rsidR="00000000" w:rsidDel="00000000" w:rsidP="00000000" w:rsidRDefault="00000000" w:rsidRPr="00000000" w14:paraId="00000015">
      <w:pPr>
        <w:spacing w:after="280" w:before="280" w:lineRule="auto"/>
        <w:rPr>
          <w:b w:val="1"/>
          <w:bCs w:val="1"/>
          <w:color w:val="416ed2"/>
          <w:sz w:val="27"/>
          <w:szCs w:val="27"/>
        </w:rPr>
      </w:pPr>
      <w:hyperlink r:id="rId9">
        <w:r w:rsidDel="00000000" w:rsidR="00000000" w:rsidRPr="00000000">
          <w:rPr>
            <w:b w:val="1"/>
            <w:bCs w:val="1"/>
            <w:color w:val="416ed2"/>
            <w:sz w:val="27"/>
            <w:szCs w:val="27"/>
            <w:rtl w:val="0"/>
          </w:rPr>
          <w:t xml:space="preserve">SJP hands £4.6bn multi-asset management mandate to Royal London AM</w:t>
        </w:r>
      </w:hyperlink>
      <w:r w:rsidDel="00000000" w:rsidR="00000000" w:rsidRPr="00000000">
        <w:rPr>
          <w:rtl w:val="0"/>
        </w:rPr>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Overall, he believes that the 2027 IHT on pension changes give advisers an "amazing opportunity" because IHT is such an emotional topic, O'Dwyer explained. "Helping a customer put in place a plan to pay for IHT is fundamental to building a long-term relationship with them.</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UK is systematically underprepared for retirement, so there is almost a natural growth as people save more."</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He added: "I'm very bullish about the prospects for Royal London, but also for advisers. It's a fantastic time to be an adviser, with great opportunities ahead."</w:t>
      </w:r>
    </w:p>
    <w:p w:rsidR="00000000" w:rsidDel="00000000" w:rsidP="00000000" w:rsidRDefault="00000000" w:rsidRPr="00000000" w14:paraId="00000019">
      <w:pPr>
        <w:pStyle w:val="Heading3"/>
        <w:keepNext w:val="0"/>
        <w:keepLines w:val="0"/>
        <w:spacing w:before="280" w:lineRule="auto"/>
        <w:rPr>
          <w:b w:val="1"/>
          <w:bCs w:val="1"/>
          <w:color w:val="1b1b1b"/>
          <w:sz w:val="33"/>
          <w:szCs w:val="33"/>
        </w:rPr>
      </w:pPr>
      <w:bookmarkStart w:colFirst="0" w:colLast="0" w:name="_xs1ltj4gqo63" w:id="2"/>
      <w:bookmarkEnd w:id="2"/>
      <w:r w:rsidDel="00000000" w:rsidR="00000000" w:rsidRPr="00000000">
        <w:rPr>
          <w:b w:val="1"/>
          <w:bCs w:val="1"/>
          <w:color w:val="1b1b1b"/>
          <w:sz w:val="33"/>
          <w:szCs w:val="33"/>
          <w:rtl w:val="0"/>
        </w:rPr>
        <w:t xml:space="preserve">Adopting a SDR label</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Another highlight for Royal London this year was </w:t>
      </w:r>
      <w:hyperlink r:id="rId10">
        <w:r w:rsidDel="00000000" w:rsidR="00000000" w:rsidRPr="00000000">
          <w:rPr>
            <w:color w:val="416ed2"/>
            <w:sz w:val="27"/>
            <w:szCs w:val="27"/>
            <w:rtl w:val="0"/>
          </w:rPr>
          <w:t xml:space="preserve">adopting the Sustainability Focus label</w:t>
        </w:r>
      </w:hyperlink>
      <w:r w:rsidDel="00000000" w:rsidR="00000000" w:rsidRPr="00000000">
        <w:rPr>
          <w:color w:val="1b1b1b"/>
          <w:sz w:val="27"/>
          <w:szCs w:val="27"/>
          <w:rtl w:val="0"/>
        </w:rPr>
        <w:t xml:space="preserve"> across all eight in-scope funds in its £11bn sustainable fund range, under the Financial Conduct Authority's Sustainability Disclosure Requirements (SDR).</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On this, O'Dwyer said the regulator has "rightly set a high bar" for allocating these labels, so it was a protracted process for the provider to adopt one.</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"We felt it was important to achieve that label because customers investing in sustainable funds will look to providers who have it," he said.  "Although it was tough, it was worth it."</w:t>
      </w:r>
    </w:p>
    <w:p w:rsidR="00000000" w:rsidDel="00000000" w:rsidP="00000000" w:rsidRDefault="00000000" w:rsidRPr="00000000" w14:paraId="0000001D">
      <w:pPr>
        <w:spacing w:after="280" w:before="280" w:lineRule="auto"/>
        <w:rPr>
          <w:b w:val="1"/>
          <w:bCs w:val="1"/>
          <w:color w:val="416ed2"/>
          <w:sz w:val="27"/>
          <w:szCs w:val="27"/>
        </w:rPr>
      </w:pPr>
      <w:hyperlink r:id="rId11">
        <w:r w:rsidDel="00000000" w:rsidR="00000000" w:rsidRPr="00000000">
          <w:rPr>
            <w:b w:val="1"/>
            <w:bCs w:val="1"/>
            <w:color w:val="416ed2"/>
            <w:sz w:val="27"/>
            <w:szCs w:val="27"/>
            <w:rtl w:val="0"/>
          </w:rPr>
          <w:t xml:space="preserve">Schroders, PIMCO and Royal London funds part of 24 latest RSMR ratings</w:t>
        </w:r>
      </w:hyperlink>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1b1b1b"/>
          <w:sz w:val="33"/>
          <w:szCs w:val="33"/>
        </w:rPr>
      </w:pPr>
      <w:bookmarkStart w:colFirst="0" w:colLast="0" w:name="_pliklz6ux4it" w:id="3"/>
      <w:bookmarkEnd w:id="3"/>
      <w:r w:rsidDel="00000000" w:rsidR="00000000" w:rsidRPr="00000000">
        <w:rPr>
          <w:b w:val="1"/>
          <w:bCs w:val="1"/>
          <w:color w:val="1b1b1b"/>
          <w:sz w:val="33"/>
          <w:szCs w:val="33"/>
          <w:rtl w:val="0"/>
        </w:rPr>
        <w:t xml:space="preserve">Targeted support</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Separately, when it comes to the FCA's targeted support proposals, O'Dwyer does not think this will make a "massive amount of difference" for financial advisers.</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"Advisers deal with a proportion of the population who can afford advice and have access to the best advisers and products in the world," he said. "Ninety percent of the population don't use a financial adviser, they muddle through and try to figure out what actions to take."</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O'Dwyer continued: "Targeted support is aimed at those people, helping to nudge them to do the right thing.</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"That might mean increasing pension contributions, joining their employer's pension scheme, or investing in a Stocks and Shares ISA or Cash ISA.</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"These actions make a difference over time, but they don't fundamentally change the financial adviser market."</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vestmentweek.co.uk/news/4413008/schroders-pimco-royal-london-funds-rsmr-ratings" TargetMode="External"/><Relationship Id="rId10" Type="http://schemas.openxmlformats.org/officeDocument/2006/relationships/hyperlink" Target="https://www.investmentweek.co.uk/news/4412599/rlam-adopts-sustainability-focus-label-gbp11bn-portfolio-range" TargetMode="External"/><Relationship Id="rId9" Type="http://schemas.openxmlformats.org/officeDocument/2006/relationships/hyperlink" Target="https://www.investmentweek.co.uk/news/4410047/sjp-hands-gbp-6bn-multi-asset-management-mandate-royal-london" TargetMode="External"/><Relationship Id="rId5" Type="http://schemas.openxmlformats.org/officeDocument/2006/relationships/styles" Target="styles.xml"/><Relationship Id="rId6" Type="http://schemas.openxmlformats.org/officeDocument/2006/relationships/hyperlink" Target="https://www.investmentweek.co.uk/news/4410047/sjp-hands-gbp-6bn-multi-asset-management-mandate-royal-london" TargetMode="External"/><Relationship Id="rId7" Type="http://schemas.openxmlformats.org/officeDocument/2006/relationships/hyperlink" Target="https://www.investmentweek.co.uk/news/4414000/royal-london-dalmore-capital#:~:text=Royal%20London%20has%20agreed%20to,500m%20to%20future%20Dalmore%20funds." TargetMode="External"/><Relationship Id="rId8" Type="http://schemas.openxmlformats.org/officeDocument/2006/relationships/hyperlink" Target="https://www.investmentweek.co.uk/news/4414000/royal-london-dalmore-ca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