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b1tqvneeuf5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net inflows hit £4.1bn as profit climbs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reported a sharp rise in net inflows to £4.1bn for the first half of 2025, up from just £77m a year earlier.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increase was driven by £1.6bn of net inflows into its Governed Range and a £4.6bn multi-asset mandate from St James’s Place.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Half-year results published today (8 August) show operating profit before tax rose 15% year-on-year to £166m, supported by higher protection new business and BPA sales.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mutual also reached a £1bn milestone in BPA premiums since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launching the proposition last year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securing £658m in H1 and a further £142m so far in H2.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Assets under management increased to £181bn, up from £173bn at the end of 2024, supported by net inflows and £3.2bn of positive market movements.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Group chief executive Barry O’Dwyer said adviser support had underpinned strong flows into the Governed Range, which attracted £1.6bn of net inflows in the first half and now manages £75bn, offering diversification through allocations to real estate and commodities.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“For six years running, Royal London has been the most preferred personal pension provider by financial advisers, testament to the strength and quality of our propositions,” O’Dwyer said.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new Bulk Purchase Annuity offering, the only mutual option in the market, is also resonating well with trustees and advisers.”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highlighted the mutual difference, noting that in April Royal London shared £181m with 2.3 million customers through its ProfitShare scheme.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Protection new business rose 14% to £455m, while sales in Ireland jumped 76% to £227m, reflecting the group’s leading broker position and pension expansion.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mutual paid 98.5% of protection claims, totalling £415m to 33,000 customers and their families.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expanded its private assets capability with the launch of two asset-backed securities funds and the proposed acquisition of Dalmore Capital, subject to regulatory approval.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will provide Governed Range customers with access to long-term infrastructure investments and support the BPA proposition.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also adopted the Sustainability Focus label across all eight in-scope funds in its £11bn Sustainable Fund Range, under the FCA’s Sustainability Disclosure Requirements.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mutual’s capital position remains strong, with the Investor View cover ratio rising to 204% and the Regulatory View ratio to 197%, despite a 2% capital strain from BPA business.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news/royal-london-enters-bpa-mark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