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40uy8d5wirrz" w:id="0"/>
      <w:bookmarkEnd w:id="0"/>
      <w:r w:rsidDel="00000000" w:rsidR="00000000" w:rsidRPr="00000000">
        <w:rPr>
          <w:b w:val="1"/>
          <w:bCs w:val="1"/>
          <w:color w:val="1b1b1b"/>
          <w:sz w:val="90"/>
          <w:szCs w:val="90"/>
          <w:rtl w:val="0"/>
        </w:rPr>
        <w:t xml:space="preserve">Royal London and MPS provider team up to launch Global Government Bond fund</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mgth3fte2vqe" w:id="1"/>
      <w:bookmarkEnd w:id="1"/>
      <w:r w:rsidDel="00000000" w:rsidR="00000000" w:rsidRPr="00000000">
        <w:rPr>
          <w:sz w:val="50"/>
          <w:szCs w:val="50"/>
          <w:rtl w:val="0"/>
        </w:rPr>
        <w:t xml:space="preserve">The new RL Global Government Bond fund builds on an existing successful strategy but will include gilts.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Royal London Asset Management and Portfoliometrix have collaborated on the launch of a new strategy to fill a gap in the latter’s managed portfolio service (MPS). The two firms today announced the launch of the RL Global Government Bond fund.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‘By co-designing with Royal London Asset Management, we turned a real portfolio gap into the RL Global Government Bond fund,’ said Portfoliometrix UK CIO Alex Funk.</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new strategy, which will also be marketed to investors across Europe, is built on the £1.1bn </w:t>
      </w:r>
      <w:hyperlink r:id="rId6">
        <w:r w:rsidDel="00000000" w:rsidR="00000000" w:rsidRPr="00000000">
          <w:rPr>
            <w:color w:val="416ed2"/>
            <w:sz w:val="27"/>
            <w:szCs w:val="27"/>
            <w:rtl w:val="0"/>
          </w:rPr>
          <w:t xml:space="preserve">Royal London International Government Bond fund</w:t>
        </w:r>
      </w:hyperlink>
      <w:r w:rsidDel="00000000" w:rsidR="00000000" w:rsidRPr="00000000">
        <w:rPr>
          <w:color w:val="1b1b1b"/>
          <w:sz w:val="27"/>
          <w:szCs w:val="27"/>
          <w:rtl w:val="0"/>
        </w:rPr>
        <w:t xml:space="preserve">, run by Citywire AAA-rated fund manager </w:t>
      </w:r>
      <w:hyperlink r:id="rId7">
        <w:r w:rsidDel="00000000" w:rsidR="00000000" w:rsidRPr="00000000">
          <w:rPr>
            <w:color w:val="416ed2"/>
            <w:sz w:val="27"/>
            <w:szCs w:val="27"/>
            <w:rtl w:val="0"/>
          </w:rPr>
          <w:t xml:space="preserve">Gareth Hill</w:t>
        </w:r>
      </w:hyperlink>
      <w:r w:rsidDel="00000000" w:rsidR="00000000" w:rsidRPr="00000000">
        <w:rPr>
          <w:color w:val="1b1b1b"/>
          <w:sz w:val="27"/>
          <w:szCs w:val="27"/>
          <w:rtl w:val="0"/>
        </w:rPr>
        <w:t xml:space="preserve"> and AA-rated </w:t>
      </w:r>
      <w:hyperlink r:id="rId8">
        <w:r w:rsidDel="00000000" w:rsidR="00000000" w:rsidRPr="00000000">
          <w:rPr>
            <w:color w:val="416ed2"/>
            <w:sz w:val="27"/>
            <w:szCs w:val="27"/>
            <w:rtl w:val="0"/>
          </w:rPr>
          <w:t xml:space="preserve">Paul Rayner</w:t>
        </w:r>
      </w:hyperlink>
      <w:r w:rsidDel="00000000" w:rsidR="00000000" w:rsidRPr="00000000">
        <w:rPr>
          <w:color w:val="1b1b1b"/>
          <w:sz w:val="27"/>
          <w:szCs w:val="27"/>
          <w:rtl w:val="0"/>
        </w:rPr>
        <w:t xml:space="preserve">.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Over three years to the end of September that fund returned 10.3%, ahead of 9.5% for the JP Morgan Government Bond Global Ex-UK Index.</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However, while the international strategy focuses on investing outside the UK, the new fund will also invest in gilts and will be benchmarked against the JP Morgan GBI Global Traded Index.</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‘We anticipate that this new strategy will also benefit other fixed income investors in the UK and internationally, who can invest through our Dublin based fund,’ said RLAM’s chief client officer, Ed Venner.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co-designed RL Global Government Bond fund will take a bottom-up stock selection process and focus on global diversification.</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exisiting International Government Bond fund is currently overweight Europe while being underweight the US, versus its benchmark, by about seven percentage points.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In general, the strategy seeks to avoid unduly large active bets versus the index, with a focus instead on looking for the best relative value opportunities.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RL Global Government Bond Fund combines the benefits of a long-term strategic view, with a tactical overlay to target outperformance over time with reduced volatility,’ added Venner.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wealth-manager/fund/royal-london-international-government-bond-fund/c354571?utm_medium=website&amp;utm_source=citywire_wm&amp;utm_campaign=article-in-body" TargetMode="External"/><Relationship Id="rId7" Type="http://schemas.openxmlformats.org/officeDocument/2006/relationships/hyperlink" Target="https://citywire.com/wealth-manager/manager/gareth-hill/d36136?utm_medium=website&amp;utm_source=citywire_wm&amp;utm_campaign=article-in-body" TargetMode="External"/><Relationship Id="rId8" Type="http://schemas.openxmlformats.org/officeDocument/2006/relationships/hyperlink" Target="https://citywire.com/wealth-manager/manager/paul-rayner/d1238?utm_medium=website&amp;utm_source=citywire_wm&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