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ox8f0knqwm50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Revealed: Assets in fund firm set up by ex-Royal London team soar to $15bn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8gjdgw9gncnw" w:id="1"/>
      <w:bookmarkEnd w:id="1"/>
      <w:r w:rsidDel="00000000" w:rsidR="00000000" w:rsidRPr="00000000">
        <w:rPr>
          <w:sz w:val="50"/>
          <w:szCs w:val="50"/>
          <w:rtl w:val="0"/>
        </w:rPr>
        <w:t xml:space="preserve">Investors have flocked Peter Rutter’s Life Cycle Investment Partners in its first year of existence.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 set up by a breakaway Royal London Asset Management (RLAM) team has become one of the fastest-growing investment start-ups in recent memory, Citywire can reveal.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Life Cycle Investment Partners, which was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established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by former RLAM equity head Peter Rutter in 2024, has seen assets under management swell to $15bn (£11.3bn) a little over a year after it launched its first strategies into the Australian market.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At the start of this year the business, which is backed by Australian investment firm Pinnacle, launched the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Life Cycle Global Equity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and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Life Cycle Global Equity Select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Ucits funds into Europe. This was complemented by the addition of a US Equity fund earlier this month.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According to Morningstar, the flagship $1bn (£763m) Global Equity Select fund has returned 4.2% in sterling terms since its inception on 23 January to 23 October. This compares to a 5.7% return for the MSCI World index and a 6.8% average gain for its Morningstar Global peer group. The smaller Global Equity fund has returned 4.1% over this period. 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Figures provided by Pinnacle state the Ucits and Australian fund ranges account for $1.3bn and $1bn respectively of Life Cycle’s total AUM, the majority of which is held in the 200-stock global equity strategy. The remaining $12.4bn of assets sit within a range of segregated mandates.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fact the Life Cycle team has not been able to approach any of its former RLAM clients due to a non-solicit clause makes this haul particularly impressive.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Life Cycle also did not get off to the best of starts, when Australian firm Ironbark </w:t>
      </w:r>
      <w:hyperlink r:id="rId9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pulled a £1.5bn 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mandate from the business in August 2024 after concluding the boutique was not ready to manage such a large slice of assets.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‘We’re thrilled that Life Cycle has been able to attract early capital from a global investor audience and it’s testament to the pedigree of the Life Cycle team,’ Pinnacle said in a statement sent to Citywire.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‘This fund raising success allows the Life Cycle team to continue to focus entirely on investing; with Pinnacle providing all of the non-investment capabilities around distribution, client service and operations.’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itywire.com/wealth-manager/news/peter-rutter-s-new-boutique-loses-1-5bn-mandate/a2448791?utm_medium=website&amp;utm_source=citywire_wm&amp;utm_campaign=article-in-body" TargetMode="External"/><Relationship Id="rId5" Type="http://schemas.openxmlformats.org/officeDocument/2006/relationships/styles" Target="styles.xml"/><Relationship Id="rId6" Type="http://schemas.openxmlformats.org/officeDocument/2006/relationships/hyperlink" Target="https://citywire.com/wealth-manager/news/royal-london-equities-boss-peter-rutter-exits-to-launch-new-firm/a2441401?utm_medium=website&amp;utm_source=citywire_wm&amp;utm_campaign=article-in-body" TargetMode="External"/><Relationship Id="rId7" Type="http://schemas.openxmlformats.org/officeDocument/2006/relationships/hyperlink" Target="https://citywire.com/wealth-manager/fund/pinnacle-icav-life-cycle-global-equity-fund-ucits/c941343?utm_medium=website&amp;utm_source=citywire_wm&amp;utm_campaign=article-in-body" TargetMode="External"/><Relationship Id="rId8" Type="http://schemas.openxmlformats.org/officeDocument/2006/relationships/hyperlink" Target="https://citywire.com/wealth-manager/fund/pinnacle-icav-life-cycle-global-equity-select-fund-ucits/c941344?utm_medium=website&amp;utm_source=citywire_wm&amp;utm_campaign=article-in-bo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