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zw0j8ltizql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Royal London launches £1bn healthcare Reit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7m04q0fhh2ar" w:id="1"/>
      <w:bookmarkEnd w:id="1"/>
      <w:r w:rsidDel="00000000" w:rsidR="00000000" w:rsidRPr="00000000">
        <w:rPr>
          <w:sz w:val="50"/>
          <w:szCs w:val="50"/>
          <w:rtl w:val="0"/>
        </w:rPr>
        <w:t xml:space="preserve">The move into investment trusts provides ‘a more competitive and internationally recognised vehicle to attract third-party capital’.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has launched a £1bn real estate investment trust (Reit) targeting healthcare assets.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Healthcare Reit will invest predominantly in care homes to meet the growing needs from the UK’s aging population. It aims to ‘take advantage of an undersupplied market and increased demand’.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launch follows the merger of Royal London’s property branch with Shoreline Partners in June. Both companies had worked together since 2022, jointly investing around £350m in UK real estate over the period.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said the move into Reits will provide ‘a more competitive and internationally recognised investment vehicle to attract third-party capital and acquire corporate entities’.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Mark Evans, head of property at the firm, said: ‘Applying for Reit status is a natural next step in our journey. It allows us to scale our healthcare strategy more effectively, attract aligned capital, and offer a structure that is both tax-efficient and internationally recognised.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‘This is about creating a platform that can deliver long-term value for our members while helping to solve one of society’s most pressing challenges.’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Royal London Asset Management Property currently runs two institutional open-ended funds, the £3.3bn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Royal London UK Real Estate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fund and £401m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Royal London Property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fund. Both are managed by </w:t>
      </w: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Stephanie Hacking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itywire.com/wealth-manager/fund/royal-london-uk-real-estate-fund/c699704?utm_medium=website&amp;utm_source=citywire_wm&amp;utm_campaign=article-in-body" TargetMode="External"/><Relationship Id="rId7" Type="http://schemas.openxmlformats.org/officeDocument/2006/relationships/hyperlink" Target="https://citywire.com/wealth-manager/fund/royal-london-property/c271490?utm_medium=website&amp;utm_source=citywire_wm&amp;utm_campaign=article-in-body" TargetMode="External"/><Relationship Id="rId8" Type="http://schemas.openxmlformats.org/officeDocument/2006/relationships/hyperlink" Target="https://citywire.com/wealth-manager/manager/stephanie-hacking/d41715?utm_medium=website&amp;utm_source=citywire_wm&amp;utm_campaign=article-in-bo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