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after="460" w:before="0" w:line="291.38399999999996" w:lineRule="auto"/>
        <w:rPr>
          <w:color w:val="1b1b1b"/>
          <w:sz w:val="27"/>
          <w:szCs w:val="27"/>
        </w:rPr>
      </w:pPr>
      <w:bookmarkStart w:colFirst="0" w:colLast="0" w:name="_w1fotncrtbo6" w:id="0"/>
      <w:bookmarkEnd w:id="0"/>
      <w:r w:rsidDel="00000000" w:rsidR="00000000" w:rsidRPr="00000000">
        <w:rPr>
          <w:b w:val="1"/>
          <w:bCs w:val="1"/>
          <w:color w:val="1b1b1b"/>
          <w:sz w:val="90"/>
          <w:szCs w:val="90"/>
          <w:rtl w:val="0"/>
        </w:rPr>
        <w:t xml:space="preserve">Royal London expands sustainable fund range</w:t>
      </w:r>
      <w:r w:rsidDel="00000000" w:rsidR="00000000" w:rsidRPr="00000000">
        <w:rPr>
          <w:rtl w:val="0"/>
        </w:rPr>
      </w:r>
    </w:p>
    <w:p w:rsidR="00000000" w:rsidDel="00000000" w:rsidP="00000000" w:rsidRDefault="00000000" w:rsidRPr="00000000" w14:paraId="00000002">
      <w:pPr>
        <w:spacing w:after="280" w:before="280" w:lineRule="auto"/>
        <w:rPr>
          <w:color w:val="1b1b1b"/>
          <w:sz w:val="27"/>
          <w:szCs w:val="27"/>
        </w:rPr>
      </w:pPr>
      <w:r w:rsidDel="00000000" w:rsidR="00000000" w:rsidRPr="00000000">
        <w:rPr>
          <w:color w:val="1b1b1b"/>
          <w:sz w:val="27"/>
          <w:szCs w:val="27"/>
          <w:rtl w:val="0"/>
        </w:rPr>
        <w:t xml:space="preserve">Royal London has announced the launch of three additional sustainable funds.</w:t>
      </w:r>
    </w:p>
    <w:p w:rsidR="00000000" w:rsidDel="00000000" w:rsidP="00000000" w:rsidRDefault="00000000" w:rsidRPr="00000000" w14:paraId="00000003">
      <w:pPr>
        <w:spacing w:after="280" w:before="280" w:lineRule="auto"/>
        <w:rPr>
          <w:color w:val="1b1b1b"/>
          <w:sz w:val="27"/>
          <w:szCs w:val="27"/>
        </w:rPr>
      </w:pPr>
      <w:r w:rsidDel="00000000" w:rsidR="00000000" w:rsidRPr="00000000">
        <w:rPr>
          <w:color w:val="1b1b1b"/>
          <w:sz w:val="27"/>
          <w:szCs w:val="27"/>
          <w:rtl w:val="0"/>
        </w:rPr>
        <w:t xml:space="preserve">The RLS Sustainable Growth, RLS Sustainable Short Duration Corporate Bond, and RLS Global Sustainable Credit funds are available via the Royal London Isa and Royal London pension offerings.</w:t>
      </w:r>
    </w:p>
    <w:p w:rsidR="00000000" w:rsidDel="00000000" w:rsidP="00000000" w:rsidRDefault="00000000" w:rsidRPr="00000000" w14:paraId="00000004">
      <w:pPr>
        <w:spacing w:after="280" w:before="280" w:lineRule="auto"/>
        <w:rPr>
          <w:color w:val="1b1b1b"/>
          <w:sz w:val="27"/>
          <w:szCs w:val="27"/>
        </w:rPr>
      </w:pPr>
      <w:r w:rsidDel="00000000" w:rsidR="00000000" w:rsidRPr="00000000">
        <w:rPr>
          <w:color w:val="1b1b1b"/>
          <w:sz w:val="27"/>
          <w:szCs w:val="27"/>
          <w:rtl w:val="0"/>
        </w:rPr>
        <w:t xml:space="preserve">This expands the Royal London Sustainable Range to nine.</w:t>
      </w:r>
    </w:p>
    <w:p w:rsidR="00000000" w:rsidDel="00000000" w:rsidP="00000000" w:rsidRDefault="00000000" w:rsidRPr="00000000" w14:paraId="00000005">
      <w:pPr>
        <w:spacing w:after="280" w:before="280" w:lineRule="auto"/>
        <w:rPr>
          <w:color w:val="1b1b1b"/>
          <w:sz w:val="27"/>
          <w:szCs w:val="27"/>
        </w:rPr>
      </w:pPr>
      <w:r w:rsidDel="00000000" w:rsidR="00000000" w:rsidRPr="00000000">
        <w:rPr>
          <w:color w:val="1b1b1b"/>
          <w:sz w:val="27"/>
          <w:szCs w:val="27"/>
          <w:rtl w:val="0"/>
        </w:rPr>
        <w:t xml:space="preserve">The funds are managed by Royal London Asset Management, and also offer investors access to the SDR Sustainable Focus label.</w:t>
      </w:r>
    </w:p>
    <w:p w:rsidR="00000000" w:rsidDel="00000000" w:rsidP="00000000" w:rsidRDefault="00000000" w:rsidRPr="00000000" w14:paraId="00000006">
      <w:pPr>
        <w:spacing w:after="280" w:before="280" w:lineRule="auto"/>
        <w:rPr>
          <w:color w:val="1b1b1b"/>
          <w:sz w:val="27"/>
          <w:szCs w:val="27"/>
        </w:rPr>
      </w:pPr>
      <w:r w:rsidDel="00000000" w:rsidR="00000000" w:rsidRPr="00000000">
        <w:rPr>
          <w:color w:val="1b1b1b"/>
          <w:sz w:val="27"/>
          <w:szCs w:val="27"/>
          <w:rtl w:val="0"/>
        </w:rPr>
        <w:t xml:space="preserve">The funds research each potential investment to decide if it’s suitable from a sustainability perspective and financially.</w:t>
      </w:r>
    </w:p>
    <w:p w:rsidR="00000000" w:rsidDel="00000000" w:rsidP="00000000" w:rsidRDefault="00000000" w:rsidRPr="00000000" w14:paraId="00000007">
      <w:pPr>
        <w:spacing w:after="280" w:before="280" w:lineRule="auto"/>
        <w:rPr>
          <w:color w:val="1b1b1b"/>
          <w:sz w:val="27"/>
          <w:szCs w:val="27"/>
        </w:rPr>
      </w:pPr>
      <w:r w:rsidDel="00000000" w:rsidR="00000000" w:rsidRPr="00000000">
        <w:rPr>
          <w:color w:val="1b1b1b"/>
          <w:sz w:val="27"/>
          <w:szCs w:val="27"/>
          <w:rtl w:val="0"/>
        </w:rPr>
        <w:t xml:space="preserve">Financial analysis is tailored to each asset class.</w:t>
      </w:r>
    </w:p>
    <w:p w:rsidR="00000000" w:rsidDel="00000000" w:rsidP="00000000" w:rsidRDefault="00000000" w:rsidRPr="00000000" w14:paraId="00000008">
      <w:pPr>
        <w:spacing w:after="280" w:before="280" w:lineRule="auto"/>
        <w:rPr>
          <w:color w:val="1b1b1b"/>
          <w:sz w:val="27"/>
          <w:szCs w:val="27"/>
        </w:rPr>
      </w:pPr>
      <w:r w:rsidDel="00000000" w:rsidR="00000000" w:rsidRPr="00000000">
        <w:rPr>
          <w:color w:val="1b1b1b"/>
          <w:sz w:val="27"/>
          <w:szCs w:val="27"/>
          <w:rtl w:val="0"/>
        </w:rPr>
        <w:t xml:space="preserve">Royal London said: “This approach centres on four sustainability themes. For the UK funds, this means considering sustainable companies that are clean, healthy, safe and inclusive. For the offshore fund, this means considering companies that are cleaner, healthier, safer and more inclusive.”</w:t>
      </w:r>
    </w:p>
    <w:p w:rsidR="00000000" w:rsidDel="00000000" w:rsidP="00000000" w:rsidRDefault="00000000" w:rsidRPr="00000000" w14:paraId="00000009">
      <w:pPr>
        <w:spacing w:after="280" w:before="280" w:lineRule="auto"/>
        <w:rPr>
          <w:color w:val="1b1b1b"/>
          <w:sz w:val="27"/>
          <w:szCs w:val="27"/>
        </w:rPr>
      </w:pPr>
      <w:r w:rsidDel="00000000" w:rsidR="00000000" w:rsidRPr="00000000">
        <w:rPr>
          <w:color w:val="1b1b1b"/>
          <w:sz w:val="27"/>
          <w:szCs w:val="27"/>
          <w:rtl w:val="0"/>
        </w:rPr>
        <w:t xml:space="preserve">Royal London head of responsible investment proposition Andrew Kitchen said: “We constantly review and evolve our propositions to ensure they continue to meet customer needs and expectations. These new funds reinforce our position as a purpose-driven mutual, with a clear focus on playing our part in moving fairly to a sustainable world.</w:t>
      </w:r>
    </w:p>
    <w:p w:rsidR="00000000" w:rsidDel="00000000" w:rsidP="00000000" w:rsidRDefault="00000000" w:rsidRPr="00000000" w14:paraId="0000000A">
      <w:pPr>
        <w:spacing w:after="280" w:before="280" w:lineRule="auto"/>
        <w:rPr>
          <w:color w:val="1b1b1b"/>
          <w:sz w:val="27"/>
          <w:szCs w:val="27"/>
        </w:rPr>
      </w:pPr>
      <w:r w:rsidDel="00000000" w:rsidR="00000000" w:rsidRPr="00000000">
        <w:rPr>
          <w:color w:val="1b1b1b"/>
          <w:sz w:val="27"/>
          <w:szCs w:val="27"/>
          <w:rtl w:val="0"/>
        </w:rPr>
        <w:t xml:space="preserve">“We believe that sustainable investing makes sense for the benefit of wider society and the environment – as well as financially.”</w:t>
      </w:r>
    </w:p>
    <w:p w:rsidR="00000000" w:rsidDel="00000000" w:rsidP="00000000" w:rsidRDefault="00000000" w:rsidRPr="00000000" w14:paraId="0000000B">
      <w:pPr>
        <w:spacing w:after="280" w:before="280" w:lineRule="auto"/>
        <w:rPr>
          <w:color w:val="1b1b1b"/>
          <w:sz w:val="27"/>
          <w:szCs w:val="27"/>
        </w:rPr>
      </w:pPr>
      <w:r w:rsidDel="00000000" w:rsidR="00000000" w:rsidRPr="00000000">
        <w:rPr>
          <w:color w:val="1b1b1b"/>
          <w:sz w:val="27"/>
          <w:szCs w:val="27"/>
          <w:rtl w:val="0"/>
        </w:rPr>
        <w:t xml:space="preserve">In September, Royal London launched a </w:t>
      </w:r>
      <w:hyperlink r:id="rId6">
        <w:r w:rsidDel="00000000" w:rsidR="00000000" w:rsidRPr="00000000">
          <w:rPr>
            <w:color w:val="416ed2"/>
            <w:sz w:val="27"/>
            <w:szCs w:val="27"/>
            <w:rtl w:val="0"/>
          </w:rPr>
          <w:t xml:space="preserve">new stocks and shares Isa</w:t>
        </w:r>
      </w:hyperlink>
      <w:r w:rsidDel="00000000" w:rsidR="00000000" w:rsidRPr="00000000">
        <w:rPr>
          <w:color w:val="1b1b1b"/>
          <w:sz w:val="27"/>
          <w:szCs w:val="27"/>
          <w:rtl w:val="0"/>
        </w:rPr>
        <w:t xml:space="preserve">, expanding its savings and investment range to complement its pension offering.</w:t>
      </w:r>
    </w:p>
    <w:p w:rsidR="00000000" w:rsidDel="00000000" w:rsidP="00000000" w:rsidRDefault="00000000" w:rsidRPr="00000000" w14:paraId="0000000C">
      <w:pPr>
        <w:spacing w:after="280" w:before="280" w:lineRule="auto"/>
        <w:rPr>
          <w:color w:val="1b1b1b"/>
          <w:sz w:val="27"/>
          <w:szCs w:val="27"/>
        </w:rPr>
      </w:pPr>
      <w:r w:rsidDel="00000000" w:rsidR="00000000" w:rsidRPr="00000000">
        <w:rPr>
          <w:color w:val="1b1b1b"/>
          <w:sz w:val="27"/>
          <w:szCs w:val="27"/>
          <w:rtl w:val="0"/>
        </w:rPr>
        <w:t xml:space="preserve">The UK’s largest mutual life, pensions and investment provider said the product would be available to new customers through financial advisers.</w:t>
      </w:r>
    </w:p>
    <w:p w:rsidR="00000000" w:rsidDel="00000000" w:rsidP="00000000" w:rsidRDefault="00000000" w:rsidRPr="00000000" w14:paraId="0000000D">
      <w:pPr>
        <w:spacing w:after="280" w:before="280" w:lineRule="auto"/>
        <w:rPr>
          <w:color w:val="1b1b1b"/>
          <w:sz w:val="27"/>
          <w:szCs w:val="27"/>
        </w:rPr>
      </w:pPr>
      <w:r w:rsidDel="00000000" w:rsidR="00000000" w:rsidRPr="00000000">
        <w:rPr>
          <w:color w:val="1b1b1b"/>
          <w:sz w:val="27"/>
          <w:szCs w:val="27"/>
          <w:rtl w:val="0"/>
        </w:rPr>
        <w:t xml:space="preserve">It will also be available to existing workplace and individual pension customers either through advisers or via direct application.</w:t>
      </w:r>
    </w:p>
    <w:p w:rsidR="00000000" w:rsidDel="00000000" w:rsidP="00000000" w:rsidRDefault="00000000" w:rsidRPr="00000000" w14:paraId="0000000E">
      <w:pPr>
        <w:spacing w:after="280" w:before="280" w:lineRule="auto"/>
        <w:rPr>
          <w:color w:val="1b1b1b"/>
          <w:sz w:val="27"/>
          <w:szCs w:val="27"/>
        </w:rPr>
      </w:pPr>
      <w:r w:rsidDel="00000000" w:rsidR="00000000" w:rsidRPr="00000000">
        <w:rPr>
          <w:color w:val="1b1b1b"/>
          <w:sz w:val="27"/>
          <w:szCs w:val="27"/>
          <w:rtl w:val="0"/>
        </w:rPr>
        <w:t xml:space="preserve">The Royal London Stocks and Shares Isa will provide the same investment choices as its pensions, including access to the Governed Range.</w:t>
      </w:r>
    </w:p>
    <w:p w:rsidR="00000000" w:rsidDel="00000000" w:rsidP="00000000" w:rsidRDefault="00000000" w:rsidRPr="00000000" w14:paraId="0000000F">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www.moneymarketing.co.uk/news/royal-london-launches-new-stocks-and-shares-isa-with-adviser-focu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