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v5j2rk9mljya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AM launches £1bn healthcare REIT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17"/>
          <w:szCs w:val="17"/>
        </w:rPr>
      </w:pPr>
      <w:bookmarkStart w:colFirst="0" w:colLast="0" w:name="_x34wtdhv91rf" w:id="1"/>
      <w:bookmarkEnd w:id="1"/>
      <w:r w:rsidDel="00000000" w:rsidR="00000000" w:rsidRPr="00000000">
        <w:rPr>
          <w:sz w:val="50"/>
          <w:szCs w:val="50"/>
          <w:rtl w:val="0"/>
        </w:rPr>
        <w:t xml:space="preserve">Following integration of Shoreline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aim of the strategy will be to scale investment in the UK's healthcare infrastructure sector, the company explained.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RLAM Property added that the REIT will provide its team with a "more competitive and internationally recognised investment vehicle" to attract third-party capital and acquire corporate entities.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b w:val="1"/>
          <w:bCs w:val="1"/>
          <w:color w:val="416ed2"/>
          <w:sz w:val="27"/>
          <w:szCs w:val="27"/>
        </w:rPr>
      </w:pPr>
      <w:hyperlink r:id="rId6">
        <w:r w:rsidDel="00000000" w:rsidR="00000000" w:rsidRPr="00000000">
          <w:rPr>
            <w:b w:val="1"/>
            <w:bCs w:val="1"/>
            <w:color w:val="416ed2"/>
            <w:sz w:val="27"/>
            <w:szCs w:val="27"/>
            <w:rtl w:val="0"/>
          </w:rPr>
          <w:t xml:space="preserve">Consolidation of UK REITs leaving investors with more efficient mandates but limited options to avoid governance risks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launch of the REIT follows the integration of UK healthcare real estate asset manager Shoreline Partners into RLAM earlier this year.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Mark Evans, head of property at RLAM Property, said: "Applying for REIT status is a natural next step in our journey. It allows us to scale our healthcare strategy more effectively, attract aligned capital, and offer a structure that is both tax-efficient and internationally recognised.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"This is about creating a platform that can deliver long-term value for our members while helping to solve one of society's most pressing challenges."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vestmentweek.co.uk/news-analysis/4517387/consolidation-uk-reits-leaving-investors-efficient-mandates-limited-options-avoid-governance-ris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