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itfnblyx2x0v" w:id="0"/>
      <w:bookmarkEnd w:id="0"/>
      <w:r w:rsidDel="00000000" w:rsidR="00000000" w:rsidRPr="00000000">
        <w:rPr>
          <w:b w:val="1"/>
          <w:bCs w:val="1"/>
          <w:color w:val="1b1b1b"/>
          <w:sz w:val="90"/>
          <w:szCs w:val="90"/>
          <w:rtl w:val="0"/>
        </w:rPr>
        <w:t xml:space="preserve">‘This is not a short term blip’, says Royal London’s AAA-rated Paola Binns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vmgo8e4iosh5" w:id="1"/>
      <w:bookmarkEnd w:id="1"/>
      <w:r w:rsidDel="00000000" w:rsidR="00000000" w:rsidRPr="00000000">
        <w:rPr>
          <w:sz w:val="50"/>
          <w:szCs w:val="50"/>
          <w:rtl w:val="0"/>
        </w:rPr>
        <w:t xml:space="preserve">Paola Binns discusses the strong performance of her short-dated bonds funds.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AAA-rated star fund manager Paola Binns says recent strong performance is ‘not just a short term blip’.</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Binns’ top performing fund over the past three years is the £1.5bn </w:t>
      </w:r>
      <w:hyperlink r:id="rId6">
        <w:r w:rsidDel="00000000" w:rsidR="00000000" w:rsidRPr="00000000">
          <w:rPr>
            <w:color w:val="416ed2"/>
            <w:sz w:val="27"/>
            <w:szCs w:val="27"/>
            <w:rtl w:val="0"/>
          </w:rPr>
          <w:t xml:space="preserve">Royal London Short Duration Credit</w:t>
        </w:r>
      </w:hyperlink>
      <w:r w:rsidDel="00000000" w:rsidR="00000000" w:rsidRPr="00000000">
        <w:rPr>
          <w:color w:val="1b1b1b"/>
          <w:sz w:val="27"/>
          <w:szCs w:val="27"/>
          <w:rtl w:val="0"/>
        </w:rPr>
        <w:t xml:space="preserve"> fund, with a 26.5% gain to the end of November versus the 16.3% average in its Bonds Sterling Short Term sector.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‘That fund has a lot more flexibility about where it can invest, and the things that have done really well this year are ones that aren’t so interest rate sensitive but have very high spreads,’ said Binns, in an interview shortly before Christmas.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 key holding in her £3.2bn </w:t>
      </w:r>
      <w:hyperlink r:id="rId7">
        <w:r w:rsidDel="00000000" w:rsidR="00000000" w:rsidRPr="00000000">
          <w:rPr>
            <w:color w:val="416ed2"/>
            <w:sz w:val="27"/>
            <w:szCs w:val="27"/>
            <w:rtl w:val="0"/>
          </w:rPr>
          <w:t xml:space="preserve">Investment Grade Short Dated Credit</w:t>
        </w:r>
      </w:hyperlink>
      <w:r w:rsidDel="00000000" w:rsidR="00000000" w:rsidRPr="00000000">
        <w:rPr>
          <w:color w:val="1b1b1b"/>
          <w:sz w:val="27"/>
          <w:szCs w:val="27"/>
          <w:rtl w:val="0"/>
        </w:rPr>
        <w:t xml:space="preserve"> fund are bonds financing Westfield Stratford City, the giant East London shopping centre.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‘We were buying these when they were just trading very cheap for the rating and for the features of the bond,’ said Binns, whose funds publicly available for sale in the UK house more than £7bn of assets.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Shorter duration bonds have tended to perform well in recent years, with elevated yields at the front of the yield curve, while interest rate cuts have not materialised as fast as many expected.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testament to Binns’ strong long-term track record, Royal London Asset Management’s head of credit has held continuous monthly Citywire ratings for risk-adjusted outperformance going back to 2016.</w:t>
      </w:r>
    </w:p>
    <w:p w:rsidR="00000000" w:rsidDel="00000000" w:rsidP="00000000" w:rsidRDefault="00000000" w:rsidRPr="00000000" w14:paraId="0000000D">
      <w:pPr>
        <w:pStyle w:val="Heading2"/>
        <w:keepNext w:val="0"/>
        <w:keepLines w:val="0"/>
        <w:spacing w:after="80" w:lineRule="auto"/>
        <w:rPr>
          <w:b w:val="1"/>
          <w:bCs w:val="1"/>
          <w:color w:val="1b1b1b"/>
          <w:sz w:val="49"/>
          <w:szCs w:val="49"/>
        </w:rPr>
      </w:pPr>
      <w:bookmarkStart w:colFirst="0" w:colLast="0" w:name="_dapc814l8bp7" w:id="2"/>
      <w:bookmarkEnd w:id="2"/>
      <w:r w:rsidDel="00000000" w:rsidR="00000000" w:rsidRPr="00000000">
        <w:rPr>
          <w:b w:val="1"/>
          <w:bCs w:val="1"/>
          <w:color w:val="1b1b1b"/>
          <w:sz w:val="49"/>
          <w:szCs w:val="49"/>
          <w:rtl w:val="0"/>
        </w:rPr>
        <w:t xml:space="preserve">‘Stronger language’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Binns, who joined Royal London in 2007, believes her teams takes a different view to most others about the credit market.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‘It’s more looking at borrowers as if you’re lending to them, rather than just trading their bonds,’ she said.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‘We have some big overweights to areas of the market where you have stronger legal language.’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Indeed, Binns’ Investment Grade Short Dated Credit fund has an underweight to corporate bonds and a significant overweight to securitised bonds, as one point of differentiation.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Last year, the fund attacted an estimated £320m inflow, according to Morningstar data. Binns says interest in the fund comes primarily from institutional investors who are ‘more conservative’. Indeed, the fund was set up for clients that did not want any high yield and who wanted the ‘most vanilla fund you could have in corporate bonds’.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fund/royal-london-bond-funds-ii-icvc-royal-london-short-duration-credit-fund/c693463?utm_medium=website&amp;utm_source=citywire_wm&amp;utm_campaign=article-in-body" TargetMode="External"/><Relationship Id="rId7" Type="http://schemas.openxmlformats.org/officeDocument/2006/relationships/hyperlink" Target="https://citywire.com/wealth-manager/fund/royal-london-investment-grade-short-dated-credit-fund/c541786?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