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k4fth3ys7ncg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insures Oxford Instruments scheme in £213m buy-in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is the second biggest transaction completed by the insurance company, after last year’s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£275m deal with law firm Grant Thornton’s pension scheme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Oxford Instruments deal covers the benefits of more than 1,600 members, according to a press release from Royal London.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Aon was the lead adviser on the buy-in, and Leah Evans, risk settlement partner at the consultancy giant, said: “The focused preparation work carried out on member data, asset alignment and transaction decision making resulted in very strong insurer interest and ultimately culminated in a full scheme bulk annuity transaction that was secured on attractive terms for the scheme and its members.”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Steve Warren, chair of trustees for the Oxford Instruments Pension Scheme, said: “The trustee board is delighted to have secured our members’ benefits via the bulk annuity policy with Royal London, achieving a fantastic outcome for the scheme, the sponsor and its members. Many thanks to Royal London and our advisers for helping us to achieve this significant milestone.”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Baljit Khatra, bulk annuity origination lead at Royal London, said the company’s mutual status was “a key deciding factor in what was a highly competitive process”.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Norton Rose Fulbright provided legal advice to the trustee board, while Independent Governance Group provided secretarial and governance support. Royal London was given legal advice by Mayer Brown.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ensions-expert.com/defined-benefit/royal-london-completes-biggest-bulk-annuity-deal-to-date-with-law-firms-scheme/69456.arti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