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83dr2j8f50fu" w:id="0"/>
      <w:bookmarkEnd w:id="0"/>
      <w:r w:rsidDel="00000000" w:rsidR="00000000" w:rsidRPr="00000000">
        <w:rPr>
          <w:b w:val="1"/>
          <w:bCs w:val="1"/>
          <w:color w:val="1b1b1b"/>
          <w:sz w:val="90"/>
          <w:szCs w:val="90"/>
          <w:rtl w:val="0"/>
        </w:rPr>
        <w:t xml:space="preserve">Pridham Report: Royal London and Artemis end 2025 firing on all cylinders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sg4z2g2kzszq" w:id="1"/>
      <w:bookmarkEnd w:id="1"/>
      <w:r w:rsidDel="00000000" w:rsidR="00000000" w:rsidRPr="00000000">
        <w:rPr>
          <w:sz w:val="50"/>
          <w:szCs w:val="50"/>
          <w:rtl w:val="0"/>
        </w:rPr>
        <w:t xml:space="preserve">Despite muted net UK fund sales, ISS Market Intelligence said more money is moving around within the UK market than ever.</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Royal London Asset Management (RLAM) and Artemis were the fund firms which ended 2025 in the strongest fashion, according to the latest Pridham Report on UK fund flows.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widely-followed report found that more money is moving around within the market than ever, with gross flows hitting record highs in 2025 ‘despite weak overall net sales’.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ISS Market Intelligence, who now produce the quarterly assessment, said wealth management consolidation and the changing nature of fund selection mean there are significant opportunities for fund firms with clear positioning and strong offerings.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Onshore gross sales were up over £10bn, or 5% year-on-year in 2025, even as net sales were down nearly £10bn.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Turning to the fourth quarter of last year, Royal London Asset Management posted net sales of £1.1bn, driven by its short-term fixed income and money market strategies. </w:t>
      </w:r>
    </w:p>
    <w:p w:rsidR="00000000" w:rsidDel="00000000" w:rsidP="00000000" w:rsidRDefault="00000000" w:rsidRPr="00000000" w14:paraId="0000000B">
      <w:pPr>
        <w:spacing w:after="280" w:before="280" w:lineRule="auto"/>
        <w:rPr>
          <w:i w:val="1"/>
          <w:iCs w:val="1"/>
          <w:color w:val="1b1b1b"/>
          <w:sz w:val="27"/>
          <w:szCs w:val="27"/>
        </w:rPr>
      </w:pPr>
      <w:r w:rsidDel="00000000" w:rsidR="00000000" w:rsidRPr="00000000">
        <w:rPr>
          <w:color w:val="1b1b1b"/>
          <w:sz w:val="27"/>
          <w:szCs w:val="27"/>
          <w:rtl w:val="0"/>
        </w:rPr>
        <w:t xml:space="preserve">RLAM’s </w:t>
      </w:r>
      <w:hyperlink r:id="rId6">
        <w:r w:rsidDel="00000000" w:rsidR="00000000" w:rsidRPr="00000000">
          <w:rPr>
            <w:color w:val="416ed2"/>
            <w:sz w:val="27"/>
            <w:szCs w:val="27"/>
            <w:rtl w:val="0"/>
          </w:rPr>
          <w:t xml:space="preserve">Short Duration Credit fund</w:t>
        </w:r>
      </w:hyperlink>
      <w:r w:rsidDel="00000000" w:rsidR="00000000" w:rsidRPr="00000000">
        <w:rPr>
          <w:color w:val="1b1b1b"/>
          <w:sz w:val="27"/>
          <w:szCs w:val="27"/>
          <w:rtl w:val="0"/>
        </w:rPr>
        <w:t xml:space="preserve">, led by Citywire AAA-rated manager </w:t>
      </w:r>
      <w:hyperlink r:id="rId7">
        <w:r w:rsidDel="00000000" w:rsidR="00000000" w:rsidRPr="00000000">
          <w:rPr>
            <w:color w:val="416ed2"/>
            <w:sz w:val="27"/>
            <w:szCs w:val="27"/>
            <w:rtl w:val="0"/>
          </w:rPr>
          <w:t xml:space="preserve">Paola Binns</w:t>
        </w:r>
      </w:hyperlink>
      <w:r w:rsidDel="00000000" w:rsidR="00000000" w:rsidRPr="00000000">
        <w:rPr>
          <w:color w:val="1b1b1b"/>
          <w:sz w:val="27"/>
          <w:szCs w:val="27"/>
          <w:rtl w:val="0"/>
        </w:rPr>
        <w:t xml:space="preserve">, is the top performer in the Sterling Short Term bonds sector over one, three and five years.</w:t>
      </w:r>
      <w:r w:rsidDel="00000000" w:rsidR="00000000" w:rsidRPr="00000000">
        <w:rPr>
          <w:rtl w:val="0"/>
        </w:rPr>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Artemis came in second with just under £800m of net fund sales in Q4. The report stated that strong sales for the </w:t>
      </w:r>
      <w:hyperlink r:id="rId8">
        <w:r w:rsidDel="00000000" w:rsidR="00000000" w:rsidRPr="00000000">
          <w:rPr>
            <w:color w:val="416ed2"/>
            <w:sz w:val="27"/>
            <w:szCs w:val="27"/>
            <w:rtl w:val="0"/>
          </w:rPr>
          <w:t xml:space="preserve">Artemis Short-Duration Strategic Bond </w:t>
        </w:r>
      </w:hyperlink>
      <w:r w:rsidDel="00000000" w:rsidR="00000000" w:rsidRPr="00000000">
        <w:rPr>
          <w:color w:val="1b1b1b"/>
          <w:sz w:val="27"/>
          <w:szCs w:val="27"/>
          <w:rtl w:val="0"/>
        </w:rPr>
        <w:t xml:space="preserve">fund added to the firm’s success with equity strategies. The strongly performing SmartGARP range has had particular success attracting new money, with the boutique </w:t>
      </w:r>
      <w:hyperlink r:id="rId9">
        <w:r w:rsidDel="00000000" w:rsidR="00000000" w:rsidRPr="00000000">
          <w:rPr>
            <w:color w:val="416ed2"/>
            <w:sz w:val="27"/>
            <w:szCs w:val="27"/>
            <w:rtl w:val="0"/>
          </w:rPr>
          <w:t xml:space="preserve">launching</w:t>
        </w:r>
      </w:hyperlink>
      <w:r w:rsidDel="00000000" w:rsidR="00000000" w:rsidRPr="00000000">
        <w:rPr>
          <w:color w:val="1b1b1b"/>
          <w:sz w:val="27"/>
          <w:szCs w:val="27"/>
          <w:rtl w:val="0"/>
        </w:rPr>
        <w:t xml:space="preserve"> a SmartGARP Global Emerging Markets ex-China Equity fund last month.</w:t>
      </w:r>
    </w:p>
    <w:p w:rsidR="00000000" w:rsidDel="00000000" w:rsidP="00000000" w:rsidRDefault="00000000" w:rsidRPr="00000000" w14:paraId="0000000D">
      <w:pPr>
        <w:pStyle w:val="Heading2"/>
        <w:keepNext w:val="0"/>
        <w:keepLines w:val="0"/>
        <w:spacing w:after="80" w:lineRule="auto"/>
        <w:rPr>
          <w:b w:val="1"/>
          <w:bCs w:val="1"/>
          <w:color w:val="1b1b1b"/>
          <w:sz w:val="49"/>
          <w:szCs w:val="49"/>
        </w:rPr>
      </w:pPr>
      <w:bookmarkStart w:colFirst="0" w:colLast="0" w:name="_u275hrcedami" w:id="2"/>
      <w:bookmarkEnd w:id="2"/>
      <w:r w:rsidDel="00000000" w:rsidR="00000000" w:rsidRPr="00000000">
        <w:rPr>
          <w:b w:val="1"/>
          <w:bCs w:val="1"/>
          <w:color w:val="1b1b1b"/>
          <w:sz w:val="49"/>
          <w:szCs w:val="49"/>
          <w:rtl w:val="0"/>
        </w:rPr>
        <w:t xml:space="preserve">‘The wealth industry is changing fast’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Benjamin Reed-Hurwitz, EMEA &amp; North American research lead at </w:t>
      </w:r>
      <w:hyperlink r:id="rId10">
        <w:r w:rsidDel="00000000" w:rsidR="00000000" w:rsidRPr="00000000">
          <w:rPr>
            <w:color w:val="416ed2"/>
            <w:sz w:val="27"/>
            <w:szCs w:val="27"/>
            <w:rtl w:val="0"/>
          </w:rPr>
          <w:t xml:space="preserve">ISS Market Intelligence</w:t>
        </w:r>
      </w:hyperlink>
      <w:r w:rsidDel="00000000" w:rsidR="00000000" w:rsidRPr="00000000">
        <w:rPr>
          <w:color w:val="1b1b1b"/>
          <w:sz w:val="27"/>
          <w:szCs w:val="27"/>
          <w:rtl w:val="0"/>
        </w:rPr>
        <w:t xml:space="preserve">, said that the findings illustrate a rapidly changing wealth industry.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‘As asset allocation shifts from individual advisors towards model portfolios and multi-asset solutions, portfolios are becoming more global and more passive, while consolidation is concentrating decision-making power,’ he said.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‘That transition is creating a highly competitive environment for fund groups. Not everyone will make the podium, but there are plenty of medals to be won for managers with clear positioning and strong portfolio value.’</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Among more passive-focused providers, Vanguard and HSBC Asset Management both won nearly £800m of net inflows in the final quarter.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Another trend showing in the US data was investors rotating out of funds focused on US large caps.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report also highlighted that Hargreaves Lansdown had ranked in the top 10 for net UK retail sales in every quarter last year, which ‘ highlights the success of its direct-to-client platforms and the potential of this channel’.</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itywire.com/wealth-manager/news/company/iss-market-intelligence/j34894?utm_medium=website&amp;utm_source=citywire_wm&amp;utm_campaign=article-in-body" TargetMode="External"/><Relationship Id="rId9" Type="http://schemas.openxmlformats.org/officeDocument/2006/relationships/hyperlink" Target="https://citywire.com/wealth-manager/news/artemis-adds-em-ex-china-fund-to-thriving-smartgarp-range/a2481702?utm_medium=website&amp;utm_source=citywire_wm&amp;utm_campaign=article-in-body" TargetMode="External"/><Relationship Id="rId5" Type="http://schemas.openxmlformats.org/officeDocument/2006/relationships/styles" Target="styles.xml"/><Relationship Id="rId6" Type="http://schemas.openxmlformats.org/officeDocument/2006/relationships/hyperlink" Target="https://citywire.com/wealth-manager/fund/royal-london-bond-funds-ii-icvc-royal-london-short-duration-credit-fund/c693463?utm_medium=website&amp;utm_source=citywire_wm&amp;utm_campaign=article-in-body" TargetMode="External"/><Relationship Id="rId7" Type="http://schemas.openxmlformats.org/officeDocument/2006/relationships/hyperlink" Target="https://citywire.com/wealth-manager/manager/paola-binns/d13116?utm_medium=website&amp;utm_source=citywire_wm&amp;utm_campaign=article-in-body" TargetMode="External"/><Relationship Id="rId8" Type="http://schemas.openxmlformats.org/officeDocument/2006/relationships/hyperlink" Target="https://citywire.com/wealth-manager/fund/artemis-short-duration-strategic-bond-fund/c864189?utm_medium=website&amp;utm_source=citywire_wm&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