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sz w:val="50"/>
          <w:szCs w:val="50"/>
        </w:rPr>
      </w:pPr>
      <w:bookmarkStart w:colFirst="0" w:colLast="0" w:name="_tzqi4ymq4emy" w:id="0"/>
      <w:bookmarkEnd w:id="0"/>
      <w:r w:rsidDel="00000000" w:rsidR="00000000" w:rsidRPr="00000000">
        <w:rPr>
          <w:b w:val="1"/>
          <w:bCs w:val="1"/>
          <w:color w:val="1b1b1b"/>
          <w:sz w:val="90"/>
          <w:szCs w:val="90"/>
          <w:rtl w:val="0"/>
        </w:rPr>
        <w:t xml:space="preserve">Royal London paid out £751m in 2024</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Overall, 65,385 families and businesses received a pay out, with Royal London noting that these figures represent the first set of numbers that partially include policies following the formal transfer of Aegon's individual protection business on 1 July, 2024.</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Of the total, more than £180m was paid out in critical illness (CI) claims to 2,675 customers and their families, with an average payment of over £67,000. Around £3.3m was paid to 156 families for children's CI claims.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primary reasons for CI claims were cancer (64%), heart attack (10%) and stroke (9%), with 89.7% of all CI claims paid. For children's CI, this was cancer (35.3%), death of a child (12.2%) and child diabetes mellitus type 1 (12.2%).</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As for denied CI claims, the top reasons were that a customer's condition did not meet the definition (6.3%), misrepresentation (3.2%) including incorrect or incomplete information provided during the application process which would have impacted the underwriting decision, and other reasons (0.8%), including underwriting exclusions that had been applied to the plans from the start.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 terms of income protection (IP), more than £8m was paid out in claims to 1,259 customers who were unable to work, including existing claims the provider continued to pay, with 86.8% of IP claims paid.</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top reasons for IP claims last year were musculoskeletal (59%), cancer (10.8%) and neurological (5.7%).</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Reasons for denied IP claims included misrepresentation (8.4%), a customer not meeting the definition of incapacity that applies to their plan (2.9%) and other reasons, including underwriting exclusions that had been applied to the plans from the start (1.9%).</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Meanwhile, nearly £270m was paid out in term life and terminal illness claims in 2024. These had pay out rates of 93.8% and 88.6%, respectively, with an average pay out of nearly £93,000 for life claims and £132,000 for terminal illness claims.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Over £286m was paid in whole of life claims, representing 99.98% of claims paid, and the average pay out was £5,000.</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top reason for denied terminal illness claims was customers not meeting Royal London's terminal illness definition (6.7%). The provider said that in most cases, this was because while they had been given a terminal diagnosis, their life expectancy was more than 12 months.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This was followed by misrepresentation (3.5%) and other reasons (1.2%) including underwriting exclusions that has been applied to the plans from the start.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Across all claims for Royal London, the youngest claimant was 19 years old, with 25% of claims paid for those under the age of 45.</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Elsewhere, Royal London's wellbeing service, Helping Hand, saw over 5,000 customers registered in 2024.</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Helping Hand supported around 1,000 customers and their families last year with a cancer diagnosis (19%), mental health wellbeing (17%), musculoskeletal issues (17%) and bereavement support (13%).</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Craig Paterson, chief underwriter, Royal London, said: "Publishing our claims statistics shows how crucial it is to have a financial safety net for when the unexpected happens. Paying a claim is our moment of truth and in 2024 we delivered on that promise, with a record-breaking year for claims paid to customers.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"While we have always had a strong track record in paying claims, we're always looking to improve the claims experience for our customers, making it easier for them to claim and pay claims faster. For instance, we're now able to settle more life insurance claims without requiring medical evidence."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