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mn93q4wdq7uw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Co-op plans to take over hundreds of shops in Southern Co-op deal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305.46" w:lineRule="auto"/>
        <w:rPr>
          <w:sz w:val="50"/>
          <w:szCs w:val="50"/>
        </w:rPr>
      </w:pPr>
      <w:bookmarkStart w:colFirst="0" w:colLast="0" w:name="_jvxlzmwvcot4" w:id="1"/>
      <w:bookmarkEnd w:id="1"/>
      <w:r w:rsidDel="00000000" w:rsidR="00000000" w:rsidRPr="00000000">
        <w:rPr>
          <w:sz w:val="50"/>
          <w:szCs w:val="50"/>
          <w:rtl w:val="0"/>
        </w:rPr>
        <w:t xml:space="preserve">The societies announced proposals which would need to be approved by members to go ahead.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Co-op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Group is planning to take over Southern Co-op in a deal that would add hundreds of food and funeral shops to the retail giant’s chain.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societies announced proposals that would need to be approved by members to go ahead.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involves bringing Southern Co-op’s 300,000 members into the seven million-strong Co-op Group, as well as its roughly 300 food, funeral and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Starbucks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coffee branches.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Co-op Group will also gain its three crematoria under the deal, enabling it to re-enter the growing market alongside its funeral services.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firms did not disclose the price of the potential transaction.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Southern Co-op is based in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Portsmouth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 and operates mainly across the south of England, incorporating </w:t>
      </w:r>
      <w:r w:rsidDel="00000000" w:rsidR="00000000" w:rsidRPr="00000000">
        <w:rPr>
          <w:color w:val="416ed2"/>
          <w:sz w:val="27"/>
          <w:szCs w:val="27"/>
          <w:rtl w:val="0"/>
        </w:rPr>
        <w:t xml:space="preserve">London</w:t>
      </w:r>
      <w:r w:rsidDel="00000000" w:rsidR="00000000" w:rsidRPr="00000000">
        <w:rPr>
          <w:color w:val="1b1b1b"/>
          <w:sz w:val="27"/>
          <w:szCs w:val="27"/>
          <w:rtl w:val="0"/>
        </w:rPr>
        <w:t xml:space="preserve">, and under the Co-op Food and Welcome brands.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was founded in Portsmouth as a co-operative in 1873.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Co-op plans to introduce ‘water cremations’ to the UK later this year (Co-op Funeralcare)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Co-operatives refer to businesses that are owned and controlled by their members, who can have a say in how the business is run.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Southern Co-op members will be given a vote on the proposals, which, if approved by members and regulators, are expected to go ahead in the final quarter of 2026.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merger would happen through a process called “transfer of engagements”, which allows two societies to come together.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Ben Stimson, Southern Co-op’s chief executive, said the deal would secure the future of the business, which has recently grappled with falling profits and higher costs.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He said: “By coming together, we can secure the co-operative future of Southern Co-op as part of a stronger combined Co-op Group, whilst creating an even stronger voice nationally and internationally to advance the co-operative cause.”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Kate Allum, Co-op Group’s interim chief executive, said: “Joining forces across Co-op Group and Southern Co-op will create new opportunities for members to have access to a greater range of benefits across a wider society, with more trading opportunities, and in turn more benefits for them and their communities.”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