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0" w:line="291.38399999999996" w:lineRule="auto"/>
        <w:rPr>
          <w:b w:val="1"/>
          <w:bCs w:val="1"/>
          <w:sz w:val="90"/>
          <w:szCs w:val="90"/>
        </w:rPr>
      </w:pPr>
      <w:bookmarkStart w:colFirst="0" w:colLast="0" w:name="_6tob2acoqiv4" w:id="0"/>
      <w:bookmarkEnd w:id="0"/>
      <w:r w:rsidDel="00000000" w:rsidR="00000000" w:rsidRPr="00000000">
        <w:rPr>
          <w:b w:val="1"/>
          <w:bCs w:val="1"/>
          <w:sz w:val="90"/>
          <w:szCs w:val="90"/>
          <w:rtl w:val="0"/>
        </w:rPr>
        <w:t xml:space="preserve">All 6.5m Co-op members had their data stolen in cyber attack earlier this year, retailer admits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6.5m members of the Co-op had data stolen in the cyber attack against the UK retailer earlier this year, the business revealed.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Shirine Khoury-Haq, boss of the retail and funeral care group, said she was ‘devastated’ by the impact of the attack on workers and members.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late April, the company shut off parts of its IT systems after the attack, in which hackers accessed and extracted members’ personal data.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Khoury-Haq said ‘names, addresses and contact information’ for all of its members were accessed.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