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kgdb5b1os7k7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Loss making Co-op reveals £206 million cost of "malicious" cyber attack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gx1kfhnbj63r" w:id="1"/>
      <w:bookmarkEnd w:id="1"/>
      <w:r w:rsidDel="00000000" w:rsidR="00000000" w:rsidRPr="00000000">
        <w:rPr>
          <w:sz w:val="50"/>
          <w:szCs w:val="50"/>
          <w:rtl w:val="0"/>
        </w:rPr>
        <w:t xml:space="preserve">Hack in April left systems crippled and resulted in empty shelves across the UK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“malicious and sophisticated”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cyber attack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sent 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plunging into the red in the first half of the year as it revealed it lost more than £200 million in revenue.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grocery stores, financial services and funeral homes group was crippled by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hackers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in April that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left shelves emp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ty in stores across the UK. Data on all 6.5 million members was stolen.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came days after a similarly disruptive attack on M&amp;S.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Today Co-op revealed the financial cost of the hack in the first six months of the year with estimated lost revenue of £206 million and profits by £80 million, including £20 million of direct costs and £60 million of lost margin.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 left Co-op with a £75 million first half loss compared with a £3 million profit last year.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Sales were down 2.1% at £5.48 billion with food sales 1.6% lower at £3.62 billion. Co-op has around 2,300 stores in the UK.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full cost of the attack could be even higher as the Co-op said it was expecting some impact in the second half of the year.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well as the cyber hack profitability was hit by “expected and significant cost headwinds” including the rise in wages , employer National Insurance contributions and the “packaging tax” under the new Extended Producer Responsibility regime.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Co-op’s chair Debbie White said: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“The first half of 2025 brought significant challenges, most notably from a malicious cyber attack. Our balance sheet strength and the magnificent response of our 53,000 colleagues enabled us to maintain vital services for our members and their communities.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must now build our Co-op back better and stronger to meet the challenges and opportunities that lie ahead.“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outlook statement Co-op said it anticipated “continued cost headwinds, global volatility and high competition. In response, we remain committed to a disciplined approach to investment to support our future, while managing a reducing level of cyber impact through the second half. “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plans to open 30 new stores in the second half of the year.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Shirine Khoury-Haq, said: “The cyber-attack highlighted many of our strengths. But more importantly, it also highlighted areas we need to focus on – particularly in our food business.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“We’ve already started on this journey, refining our member and customer proposition, making structural changes to our business, and setting our Co-op up for long-term success.”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