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4d8qp3qnqjdf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to open or refurbish dozens of stores amid cyber attack recovery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jlddh1ob1ola" w:id="1"/>
      <w:bookmarkEnd w:id="1"/>
      <w:r w:rsidDel="00000000" w:rsidR="00000000" w:rsidRPr="00000000">
        <w:rPr>
          <w:sz w:val="50"/>
          <w:szCs w:val="50"/>
          <w:rtl w:val="0"/>
        </w:rPr>
        <w:t xml:space="preserve">The retailer said 50 stores will be opened or re-opened by Christmas as it urged the Government to reform business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has said it is pushing forward with a raft of new stores and major refurbishments as it bounced back from a damaging cyber-attack (Alamy/PA)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416ed2"/>
          <w:sz w:val="27"/>
          <w:szCs w:val="27"/>
          <w:rtl w:val="0"/>
        </w:rPr>
        <w:t xml:space="preserve">The Co-op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has said it is pushing forward with a number of new stores and major refurbishments as it bounces back from a damaging cyber attack.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retailer said 50 stores will be opened or re-opened by Christmas as it urged the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Government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to reform business rates ahead of the autumn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Budget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reforms will be “vital” to encourage further high street investment as it continues with its own expansion ambitions.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latest slew of openings will take the Co-op’s store openings and refurbishments to more than 200 sites for the latest financial year.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added that the programme will have seen the business invest more than £200 million across the store estate.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Co-op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will open 14 new stores, which include it becoming the first permanent retailer at the new Brent Cross Town development in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London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, five new micro-format ‘on the go’ stores and a new franchise store at Lancaster University.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remainder of the 50 stores will consist of sites which have been closed for a lengthy period to undergo an extensive refurbishment and will re-open with a new look and updated product range.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Growth efforts come as the group, which has around 6.9 million member-owners, continues to recover from a major cyber attack.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in September that the hack, which took place in April, will knock its annual earnings by around £120 million.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Meanwhile, it said the cyber attack, which left it with bare shelves and saw data stolen for all its members, impacted on sales by about £206 million.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said the hackers impersonated workers to trick employees into giving them access to their accounts.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They created a copy of one of the firm’s files but were unable to attack its platforms further and install ransomware.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On Monday, the group, which runs more than 2,300 food stores, made renewed calls for property tax reform and increased certainty from the Government ahead of the autumn Budget.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Shirine Khoury-Haq, Co-op Group chief executive, said: “We’re investing in stores and communities right across the UK because we believe in the future of the high street.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“But sustained growth needs certainty. Business rates reform is vital if retailers – especially the 99% who run small stores – are to plan with confidence, protect jobs and keep local economies thriving.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“Co-op is showing what’s possible when businesses commit to communities.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 Government now has an opportunity in the autumn Budget to do its part by delivering the reform that’s long been promised – giving every retailer, from small to large, the stability to invest and grow.”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