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00x8unfh7aw" w:id="0"/>
      <w:bookmarkEnd w:id="0"/>
      <w:r w:rsidDel="00000000" w:rsidR="00000000" w:rsidRPr="00000000">
        <w:rPr>
          <w:b w:val="1"/>
          <w:bCs w:val="1"/>
          <w:color w:val="1b1b1b"/>
          <w:sz w:val="90"/>
          <w:szCs w:val="90"/>
          <w:rtl w:val="0"/>
        </w:rPr>
        <w:t xml:space="preserve">SJP to implement new charging structure next month</w:t>
      </w:r>
    </w:p>
    <w:p w:rsidR="00000000" w:rsidDel="00000000" w:rsidP="00000000" w:rsidRDefault="00000000" w:rsidRPr="00000000" w14:paraId="00000002">
      <w:pPr>
        <w:pStyle w:val="Heading1"/>
        <w:keepNext w:val="0"/>
        <w:keepLines w:val="0"/>
        <w:spacing w:after="460" w:before="0" w:line="291.38399999999996" w:lineRule="auto"/>
        <w:rPr>
          <w:color w:val="1b1b1b"/>
          <w:sz w:val="27"/>
          <w:szCs w:val="27"/>
        </w:rPr>
      </w:pPr>
      <w:bookmarkStart w:colFirst="0" w:colLast="0" w:name="_1u0xu33023y1" w:id="1"/>
      <w:bookmarkEnd w:id="1"/>
      <w:r w:rsidDel="00000000" w:rsidR="00000000" w:rsidRPr="00000000">
        <w:rPr>
          <w:color w:val="1b1b1b"/>
          <w:sz w:val="27"/>
          <w:szCs w:val="27"/>
          <w:rtl w:val="0"/>
        </w:rPr>
        <w:t xml:space="preserve">St James’s Place (SJP) has confirmed that its new simplified charges will be introduced in August.</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wealth manager believes that separating out advice, product and fund charges will make it simpler for clients to understand and easier for them to compare.</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SJP first announced </w:t>
      </w:r>
      <w:hyperlink r:id="rId6">
        <w:r w:rsidDel="00000000" w:rsidR="00000000" w:rsidRPr="00000000">
          <w:rPr>
            <w:color w:val="416ed2"/>
            <w:sz w:val="27"/>
            <w:szCs w:val="27"/>
            <w:rtl w:val="0"/>
          </w:rPr>
          <w:t xml:space="preserve">it would be scrapping its controversial exit charges in October 2023</w:t>
        </w:r>
      </w:hyperlink>
      <w:r w:rsidDel="00000000" w:rsidR="00000000" w:rsidRPr="00000000">
        <w:rPr>
          <w:color w:val="1b1b1b"/>
          <w:sz w:val="27"/>
          <w:szCs w:val="27"/>
          <w:rtl w:val="0"/>
        </w:rPr>
        <w:t xml:space="preserv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move appeared to have been prompted by the Financial Conduct Authority’s increased focus on fair value for customers as part of its Consumer Duty work.</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SJP originally held firm with its charging structure when the FCA first revealed its proposals.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But having come under increased scrutiny in the months that followed, the firm had a change of heart.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new charging structure, which will be implemented from 26 August, means the early withdrawal charge – or exit fee – will no longer apply for new investments.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James Rainbow, chief executive officer at St James’s Place Wealth Management, said: “We see the real value in the relationship between our clients and their advisers every day.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“These changes will make it much simpler to see just how competitive we are on a like-for-like basis for the fully personalised, trusted advice our advisers provide.</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“It’s a good thing for our advisers, our business and most importantly our clients, the majority of which will benefit from lower overall charges over their relationship with us.”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As part of these changes, SJP is introducing tiering of initial advice charges (IAC) based on the amount being invested.</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Initial advice charges will be tiered at 3% for the first £250,000, 2% for the next £250,000 and 1% on amounts over £500,000. These rates will apply in the majority of cases.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SJP’s ongoing advice charge will be 0.8% per year as charges are realigned to more accurately reflect where clients get the most value.</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Its ongoing product charges will be tiered based on the amount invested across a client’s overall portfolio.</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For investment bonds and pensions, this tiering will start at 0.35% per annum on the first £500,000 invested, while on Isas and unit trusts the starting point will be 0.27%.</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Rainbow added: “Moving to our new charging structure is a major exercise, and we’re now in the final stages of implementation.</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has required an extensive IT infrastructure build to deliver these changes, with a comprehensive testing plan.</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“Alongside this, we have equipped our advisers with a suite of tools and materials so they continue to deliver the best possible outcomes to clients as we implement these changes.”</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In addition, SJP has looked at the costs associated with running each individual fund.</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SJP’s group investment director Tom Beal said: “We have spent years building our range, using our reach and size to create economies of scale, negotiating competitive terms for our clients while selecting the best managers from around the world.</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“This will now be more visible to our clients and more readily comparable to our peers when it comes to performance, which up until now included the cost of advice and the product wrapper.</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“This weighed on our comparative performance against peers who keep such costs separate.</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“Our new structure will enable clearer performance comparisons, making it easier for clients to see value.”</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SJP has started communicating the changes to clients.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Existing clients will transition to the new ongoing advice and product charges either on 26 August or once they come to the end of their early withdrawal charge period for bonds and pensions.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neymarketing.co.uk/news/sjp-scraps-exit-charges-for-cli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