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r7ow0k8q4bg3" w:id="0"/>
      <w:bookmarkEnd w:id="0"/>
      <w:r w:rsidDel="00000000" w:rsidR="00000000" w:rsidRPr="00000000">
        <w:rPr>
          <w:b w:val="1"/>
          <w:bCs w:val="1"/>
          <w:color w:val="1b1b1b"/>
          <w:sz w:val="90"/>
          <w:szCs w:val="90"/>
          <w:rtl w:val="0"/>
        </w:rPr>
        <w:t xml:space="preserve">St James’s Place shrinks customer compensation pot and will buy back shares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sjgx4q1vsdlu" w:id="1"/>
      <w:bookmarkEnd w:id="1"/>
      <w:r w:rsidDel="00000000" w:rsidR="00000000" w:rsidRPr="00000000">
        <w:rPr>
          <w:sz w:val="50"/>
          <w:szCs w:val="50"/>
          <w:rtl w:val="0"/>
        </w:rPr>
        <w:t xml:space="preserve">UK’s biggest wealth manager says inflows doubled in first half as it puts turbulent period behind it</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 James’s Place has reduced the amount of money it has set aside to compensate customers who alleged they had received insufficient financial advice, freeing up millions of pounds for share buybacks.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FTSE 100 group said on Thursday that it has released £63.4mn after tax from a redress pot set up last year as part of a review into whether clients had received the financial advice they were paying for.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Gloucestershire-based company said this money would be returned to shareholders through a share buyback, after the regulator provided guidance earlier this year giving wealth managers greater clarity on the amount of compensation they might need to provide. In total, the group will buy back £95.5mn of shares, following a separate interim buyback worth £32.1mn.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buybacks comes as SJP reported a doubling of net inflows to £3.8bn in the first half of the year compared with a year ago, beating analysts’ expectations and boosting its total assets under management to £198.5bn.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Chief executive Mark FitzPatrick said the group was also “on track” to achieve its target of cutting £100mn a year from its cost base by 2027.</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turnaround comes after a challenging period for the wealth manager whose shares plummeted in 2023 when it bowed to pressure from regulators to overhaul its fees to comply with new consumer-focused rules.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Andrew Lowe, analyst at Citi, said that SJP’s net flows were “stronger than expected”, adding that the share buyback from the release of the provision was a “positive surprise” for shareholders.</w:t>
      </w:r>
    </w:p>
    <w:p w:rsidR="00000000" w:rsidDel="00000000" w:rsidP="00000000" w:rsidRDefault="00000000" w:rsidRPr="00000000" w14:paraId="0000000A">
      <w:pPr>
        <w:spacing w:after="280" w:before="280" w:lineRule="auto"/>
        <w:rPr>
          <w:color w:val="1b1b1b"/>
          <w:sz w:val="27"/>
          <w:szCs w:val="27"/>
        </w:rPr>
      </w:pPr>
      <w:hyperlink r:id="rId6">
        <w:r w:rsidDel="00000000" w:rsidR="00000000" w:rsidRPr="00000000">
          <w:rPr>
            <w:color w:val="416ed2"/>
            <w:sz w:val="27"/>
            <w:szCs w:val="27"/>
            <w:rtl w:val="0"/>
          </w:rPr>
          <w:t xml:space="preserve">SJP </w:t>
        </w:r>
      </w:hyperlink>
      <w:r w:rsidDel="00000000" w:rsidR="00000000" w:rsidRPr="00000000">
        <w:rPr>
          <w:color w:val="1b1b1b"/>
          <w:sz w:val="27"/>
          <w:szCs w:val="27"/>
          <w:rtl w:val="0"/>
        </w:rPr>
        <w:t xml:space="preserve">is now gearing up to implement its new fee structure near the end of August, which will separate various charges so customers have better transparency over the cost of advice, products and other services. The company will also remove its controversial exit charge on certain products.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FitzPatrick added that SJP was preparing to launch a new fund investing in cheap index trackers, as the cost of investments would become more visible to customers under the new charging structure.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Shares in SJP rose 6 per cent in morning trading.</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261dd855-e114-471a-9d54-1fce07270a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