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460" w:before="0" w:line="300" w:lineRule="auto"/>
        <w:rPr>
          <w:b w:val="1"/>
          <w:bCs w:val="1"/>
          <w:color w:val="101828"/>
          <w:sz w:val="48"/>
          <w:szCs w:val="48"/>
        </w:rPr>
      </w:pPr>
      <w:bookmarkStart w:colFirst="0" w:colLast="0" w:name="_sk6ybsllbnbw" w:id="0"/>
      <w:bookmarkEnd w:id="0"/>
      <w:r w:rsidDel="00000000" w:rsidR="00000000" w:rsidRPr="00000000">
        <w:rPr>
          <w:b w:val="1"/>
          <w:bCs w:val="1"/>
          <w:color w:val="101828"/>
          <w:sz w:val="48"/>
          <w:szCs w:val="48"/>
          <w:rtl w:val="0"/>
        </w:rPr>
        <w:t xml:space="preserve">SJP claws back £85m after reviewing ongoing advice compensation</w:t>
      </w:r>
    </w:p>
    <w:p w:rsidR="00000000" w:rsidDel="00000000" w:rsidP="00000000" w:rsidRDefault="00000000" w:rsidRPr="00000000" w14:paraId="00000002">
      <w:pPr>
        <w:spacing w:after="300" w:lineRule="auto"/>
        <w:rPr>
          <w:color w:val="475467"/>
          <w:sz w:val="26"/>
          <w:szCs w:val="26"/>
        </w:rPr>
      </w:pPr>
      <w:r w:rsidDel="00000000" w:rsidR="00000000" w:rsidRPr="00000000">
        <w:rPr>
          <w:color w:val="475467"/>
          <w:sz w:val="26"/>
          <w:szCs w:val="26"/>
          <w:rtl w:val="0"/>
        </w:rPr>
        <w:t xml:space="preserve">St James’s Place (SJP) has clawed back £85m of the money it expected to pay out to compensate customers for historic ongoing advice charges.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Last year, SJP announced it had set aside £426m for potential client refunds – news that caused its share price to plummet and saw it drop out of the FTSE 100.</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However, in its half-year results published today (31 July), the wealth manager confirmed that it had now estimated it to be nearer £320m.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This came after reviewing new industry guidance around ongoing financial advice services, issued by the FCA in February 2025.</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The money, which equates to £63.4m after tax, will be returned to shareholders through its buy-back scheme.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SJP said: “Following the FCA’s new industry guidance around ongoing financial advice services, we have revised our redress methodology to better align it with both the new industry guidance and our experience from the project to date.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“This revised redress methodology has led to an £84.5m release in the ongoing service evidence provision.”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In February 2024, the Financial Conduct Authority </w:t>
      </w:r>
      <w:hyperlink r:id="rId6">
        <w:r w:rsidDel="00000000" w:rsidR="00000000" w:rsidRPr="00000000">
          <w:rPr>
            <w:color w:val="950614"/>
            <w:sz w:val="26"/>
            <w:szCs w:val="26"/>
            <w:rtl w:val="0"/>
          </w:rPr>
          <w:t xml:space="preserve">wrote to 20 of the largest advice firms</w:t>
        </w:r>
      </w:hyperlink>
      <w:r w:rsidDel="00000000" w:rsidR="00000000" w:rsidRPr="00000000">
        <w:rPr>
          <w:color w:val="475467"/>
          <w:sz w:val="26"/>
          <w:szCs w:val="26"/>
          <w:rtl w:val="0"/>
        </w:rPr>
        <w:t xml:space="preserve"> requesting information about their delivery of ongoing services to clients.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In the letter, it laid out its concerns that some had continued to be charged after advice had been given.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In its results, SJP also confirmed it was on track to </w:t>
      </w:r>
      <w:hyperlink r:id="rId7">
        <w:r w:rsidDel="00000000" w:rsidR="00000000" w:rsidRPr="00000000">
          <w:rPr>
            <w:color w:val="950614"/>
            <w:sz w:val="26"/>
            <w:szCs w:val="26"/>
            <w:rtl w:val="0"/>
          </w:rPr>
          <w:t xml:space="preserve">introduce its new, simpler charging structure</w:t>
        </w:r>
      </w:hyperlink>
      <w:r w:rsidDel="00000000" w:rsidR="00000000" w:rsidRPr="00000000">
        <w:rPr>
          <w:color w:val="475467"/>
          <w:sz w:val="26"/>
          <w:szCs w:val="26"/>
          <w:rtl w:val="0"/>
        </w:rPr>
        <w:t xml:space="preserve"> on 26 August.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The total cost of implementing it, SJP confirmed, has been £104.8m (post-tax) so far.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SJP also said it is “progressing” and on track with its plan to save £100m in costs by 2027.</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Its results revealed another strong financial performance, with net inflows of £3.8bn – double the £1.9bn recorded in the first half of 2024.</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Gross inflows stood at £10.5bn, a £2bn (23%) increase from 2024, while funds under management (FUM) grew to a record £198.5bn.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SJP CEO Mark FitzPatrick said: “I am pleased to report strong operating and financial performance in the first half of 2025.</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“During the period our highly qualified, professional advisers helped over one million clients to navigate a complex macroeconomic environment, ensuring clients’ financial plans remain on track for the future.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760" w:line="332.30769230769226" w:lineRule="auto"/>
        <w:rPr>
          <w:color w:val="475467"/>
          <w:sz w:val="26"/>
          <w:szCs w:val="26"/>
        </w:rPr>
      </w:pPr>
      <w:r w:rsidDel="00000000" w:rsidR="00000000" w:rsidRPr="00000000">
        <w:rPr>
          <w:color w:val="475467"/>
          <w:sz w:val="26"/>
          <w:szCs w:val="26"/>
          <w:rtl w:val="0"/>
        </w:rPr>
        <w:t xml:space="preserve">“The investment team has worked hard developing Polaris Multi-Index, a new range of multi-asset funds, which we hope to launch in late 2025.”</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eymarketing.co.uk/news/regulator-quizzes-firms-over-ongoing-advice-concerns-post-consumer-duty/" TargetMode="External"/><Relationship Id="rId7" Type="http://schemas.openxmlformats.org/officeDocument/2006/relationships/hyperlink" Target="https://www.moneymarketing.co.uk/news/sjp-to-implement-new-charging-structure-next-mon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