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2liqmnn49qlz" w:id="0"/>
      <w:bookmarkEnd w:id="0"/>
      <w:r w:rsidDel="00000000" w:rsidR="00000000" w:rsidRPr="00000000">
        <w:rPr>
          <w:b w:val="1"/>
          <w:bCs w:val="1"/>
          <w:color w:val="1b1b1b"/>
          <w:sz w:val="90"/>
          <w:szCs w:val="90"/>
          <w:rtl w:val="0"/>
        </w:rPr>
        <w:t xml:space="preserve">St James’s Place doubles inflows as turnaround bears fruit</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bq0sajl1qnhl" w:id="1"/>
      <w:bookmarkEnd w:id="1"/>
      <w:r w:rsidDel="00000000" w:rsidR="00000000" w:rsidRPr="00000000">
        <w:rPr>
          <w:sz w:val="50"/>
          <w:szCs w:val="50"/>
          <w:rtl w:val="0"/>
        </w:rPr>
        <w:t xml:space="preserve">The FTSE 100 wealth manager, which has been reforming fees after pressure from regulators, hit a record £198.5 billion under management</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One of the country’s leading wealth managers saw net inflows double to £3.8 billion in the first half of the year as it continues its turnaround programme.</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St James’s Place has reported that funds under management reached a record £198.5 billion over the six months to the end of June, and said it remained on track to achieve cost savings of about £100 million a year by 2027.</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Gross inflows were up to £10.5 billion from £8.5 billion, and despite a fall in interim pre-tax profit to £505.4 million from £577 million a year ago, shares in St James’s Place closed up 139p, or 11.9 per cent, at £13.08½. Retention of client funds was up to 95.3 per cent from 94.6 per cent.</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FTSE 100 company has been putting in place a new fee structure after coming under pressure from regulators over how it charges its customers. The Gloucestershire-based group will separate charges to provide customers with more information about </w:t>
      </w:r>
      <w:hyperlink r:id="rId6">
        <w:r w:rsidDel="00000000" w:rsidR="00000000" w:rsidRPr="00000000">
          <w:rPr>
            <w:color w:val="416ed2"/>
            <w:sz w:val="27"/>
            <w:szCs w:val="27"/>
            <w:rtl w:val="0"/>
          </w:rPr>
          <w:t xml:space="preserve">its fees for advice and services</w:t>
        </w:r>
      </w:hyperlink>
      <w:r w:rsidDel="00000000" w:rsidR="00000000" w:rsidRPr="00000000">
        <w:rPr>
          <w:color w:val="1b1b1b"/>
          <w:sz w:val="27"/>
          <w:szCs w:val="27"/>
          <w:rtl w:val="0"/>
        </w:rPr>
        <w:t xml:space="preserve">, and the firm is also scrapping an unpopular charge it has been levying for exiting certain products.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St James’s Place released £63.4 million from a redress pot set up for customers following a review of its financial advice fees and said it intended to return money to investors in the form of a share buyback.</w:t>
      </w:r>
    </w:p>
    <w:p w:rsidR="00000000" w:rsidDel="00000000" w:rsidP="00000000" w:rsidRDefault="00000000" w:rsidRPr="00000000" w14:paraId="00000008">
      <w:pPr>
        <w:spacing w:after="280" w:before="280" w:lineRule="auto"/>
        <w:rPr>
          <w:color w:val="1b1b1b"/>
          <w:sz w:val="27"/>
          <w:szCs w:val="27"/>
        </w:rPr>
      </w:pPr>
      <w:hyperlink r:id="rId7">
        <w:r w:rsidDel="00000000" w:rsidR="00000000" w:rsidRPr="00000000">
          <w:rPr>
            <w:color w:val="416ed2"/>
            <w:sz w:val="27"/>
            <w:szCs w:val="27"/>
            <w:rtl w:val="0"/>
          </w:rPr>
          <w:t xml:space="preserve">Mark FitzPatrick, chief executive of St James’s Place</w:t>
        </w:r>
      </w:hyperlink>
      <w:r w:rsidDel="00000000" w:rsidR="00000000" w:rsidRPr="00000000">
        <w:rPr>
          <w:color w:val="1b1b1b"/>
          <w:sz w:val="27"/>
          <w:szCs w:val="27"/>
          <w:rtl w:val="0"/>
        </w:rPr>
        <w:t xml:space="preserve">, said: “The strategic progress we are making will strengthen our business for the future, ensuring we are best placed to continue to capitalise on the compelling market opportunity in UK wealth management.</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demand and need for financial advice are high and here to stay. We have more than one million clients already securing their long-term financial futures through the power of invaluable advice, and we are driven by our desire to help more people achieve this.”</w:t>
      </w:r>
    </w:p>
    <w:p w:rsidR="00000000" w:rsidDel="00000000" w:rsidP="00000000" w:rsidRDefault="00000000" w:rsidRPr="00000000" w14:paraId="0000000A">
      <w:pPr>
        <w:numPr>
          <w:ilvl w:val="0"/>
          <w:numId w:val="1"/>
        </w:numPr>
        <w:spacing w:after="280" w:before="280" w:lineRule="auto"/>
        <w:ind w:left="720" w:hanging="360"/>
      </w:pPr>
      <w:hyperlink r:id="rId8">
        <w:r w:rsidDel="00000000" w:rsidR="00000000" w:rsidRPr="00000000">
          <w:rPr>
            <w:b w:val="1"/>
            <w:bCs w:val="1"/>
            <w:color w:val="416ed2"/>
            <w:sz w:val="27"/>
            <w:szCs w:val="27"/>
            <w:rtl w:val="0"/>
          </w:rPr>
          <w:t xml:space="preserve">The inheritance tax headache coming for the middle class</w:t>
        </w:r>
      </w:hyperlink>
      <w:r w:rsidDel="00000000" w:rsidR="00000000" w:rsidRPr="00000000">
        <w:rPr>
          <w:rtl w:val="0"/>
        </w:rPr>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David McCann, analyst at Deutsche Bank, said St James’s Place had released a “robust statement” and that its share price looked “too cheap for a market leader in a structural growth industry”.</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St James’s Place said that it expected demand for its products to strengthen over time as “many UK consumers lack the confidence to invest” and they face complex rules with respect to tax and pensions. The company noted that research had shown consumers often expect cash holdings to deliver better returns than investing in shares, despite evidence to the contrary.</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The group added: “As the scale operator in financial advice with a proven track record of success and an industry voice that’s increasingly heard, we’re already well positioned to capitalise on the compelling market opportunity. But we must continue to earn the right to win by keeping our focus on delivering good client outcomes at the heart of the business, and by delivering on our strategic ambitions.”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times.co.uk/article/sjps-delayed-cut-to-investment-fees-will-kick-in-next-month-20nkjk9vc" TargetMode="External"/><Relationship Id="rId7" Type="http://schemas.openxmlformats.org/officeDocument/2006/relationships/hyperlink" Target="https://www.thetimes.co.uk/article/from-threats-to-inviting-us-to-tea-sjp-changes-its-tune-and-fees-t5kmfh65r" TargetMode="External"/><Relationship Id="rId8" Type="http://schemas.openxmlformats.org/officeDocument/2006/relationships/hyperlink" Target="https://www.thetimes.co.uk/article/the-inheritance-tax-headache-coming-for-the-middle-class-n5vqjz5r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