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sz w:val="17"/>
          <w:szCs w:val="17"/>
        </w:rPr>
      </w:pPr>
      <w:bookmarkStart w:colFirst="0" w:colLast="0" w:name="_3rcilkqvcrge" w:id="0"/>
      <w:bookmarkEnd w:id="0"/>
      <w:r w:rsidDel="00000000" w:rsidR="00000000" w:rsidRPr="00000000">
        <w:rPr>
          <w:b w:val="1"/>
          <w:bCs w:val="1"/>
          <w:color w:val="1b1b1b"/>
          <w:sz w:val="90"/>
          <w:szCs w:val="90"/>
          <w:rtl w:val="0"/>
        </w:rPr>
        <w:t xml:space="preserve">Adviser ‘livid’ at St James’s Place transaction cost disclosure policy</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color w:val="1b1b1b"/>
          <w:sz w:val="27"/>
          <w:szCs w:val="27"/>
          <w:rtl w:val="0"/>
        </w:rPr>
        <w:t xml:space="preserve">An adviser who was onboarding clients that had formerly been with St James’s Place said he was “livid” following attempts to understand the FTSE 100 wealth management company’s transaction costs.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adviser said he presented, as obliged by regulation, the full list of costs and charges his new clients would incur annually, including the transaction costs which are incurred when the funds a client is invested in buy or sell stocks.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He said the new clients were happy with the total costs, which were below the level they had paid when clients of </w:t>
      </w:r>
      <w:hyperlink r:id="rId6">
        <w:r w:rsidDel="00000000" w:rsidR="00000000" w:rsidRPr="00000000">
          <w:rPr>
            <w:color w:val="416ed2"/>
            <w:sz w:val="27"/>
            <w:szCs w:val="27"/>
            <w:rtl w:val="0"/>
          </w:rPr>
          <w:t xml:space="preserve">St James’s Place</w:t>
        </w:r>
      </w:hyperlink>
      <w:r w:rsidDel="00000000" w:rsidR="00000000" w:rsidRPr="00000000">
        <w:rPr>
          <w:color w:val="1b1b1b"/>
          <w:sz w:val="27"/>
          <w:szCs w:val="27"/>
          <w:rtl w:val="0"/>
        </w:rPr>
        <w:t xml:space="preserve">. </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However, when the adviser tried to offer a line-by-line comparison of their costs versus SJP, he found the statement of costs the client presented from their SJP days did not mention the transaction costs.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Frustrated, the adviser then tried to compare the SJP statement of costs with that of a very large UK wealth manager, and found the latter did include transaction costs.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After a lot of searching, he said he subsequently found a disclosure of SJP costs on the company’s website.</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adviser said that while his fees were still cheaper than St James’s Place even with the latter’s transaction costs excluded, he could not provide a proper comparison.</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He told FT Adviser: “The way it is now I can’t give a realistic comparison of my charges versus [SJPs].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“I don’t look that much cheaper when you compare it, because some of their charges are excluded.”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 representative of SJP said: “The Ongoing Charges Figure is a regulatory term used in key investor information documents, and does not include transaction costs.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“Our disclosures follow this approach unless other regulations specifically require transaction costs to be shown. These differences across regulations are the main reason why some documents disclose them and other do not.”</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spokesperson added: “It’s also important to be clear about what transaction costs are. They represent external costs of trading within a fund and they are not charges payable to SJP.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“These costs are incurred in the fund and are always reflected in the overall investment performance which is calculated after the effect of transaction costs.” </w:t>
      </w:r>
    </w:p>
    <w:p w:rsidR="00000000" w:rsidDel="00000000" w:rsidP="00000000" w:rsidRDefault="00000000" w:rsidRPr="00000000" w14:paraId="0000000F">
      <w:pPr>
        <w:pStyle w:val="Heading2"/>
        <w:keepNext w:val="0"/>
        <w:keepLines w:val="0"/>
        <w:spacing w:after="80" w:lineRule="auto"/>
        <w:rPr>
          <w:b w:val="1"/>
          <w:bCs w:val="1"/>
          <w:color w:val="1b1b1b"/>
          <w:sz w:val="49"/>
          <w:szCs w:val="49"/>
        </w:rPr>
      </w:pPr>
      <w:bookmarkStart w:colFirst="0" w:colLast="0" w:name="_p5w5q94m63fg" w:id="1"/>
      <w:bookmarkEnd w:id="1"/>
      <w:r w:rsidDel="00000000" w:rsidR="00000000" w:rsidRPr="00000000">
        <w:rPr>
          <w:b w:val="1"/>
          <w:bCs w:val="1"/>
          <w:color w:val="1b1b1b"/>
          <w:sz w:val="49"/>
          <w:szCs w:val="49"/>
          <w:rtl w:val="0"/>
        </w:rPr>
        <w:t xml:space="preserve">Ongoing cost queries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 is believed the document the adviser saw from the other wealth manager was from the Mifid document, where transaction costs have to be reported.</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SJP does disclose transaction costs in the Mifid document, whereas the adviser had originally looked at the key information document, as this is what the client saw.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adviser also queried the level of SJP transaction charges. He pointed out that the St James Place transaction costs for its Global Equity portfolio were 0.23 per cent.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This compares with the wealth manager the adviser used to cross check cost disclosure, which has transaction costs of 0.12 per cent for its Global Equity portfolio.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Similarly, the SJP Balanced Managed fund has transaction costs, according to the company’s website, of 0.62 per cent, while the large wealth manager’s costs for its Balanced portfolio are 0.09 per cent, while the transaction costs on the SJP Managed Growth fund are 0.42 per cent, compared with 0.1 per cent for the other manager’s Growth portfolio.</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SJP representative added: “Transaction costs reflect how actively a fund is traded and the markets it invests in. They also include slippage, which the FCA has recognised as unreliable and proposed removing from disclosure rules. </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“On their own, transaction costs don’t indicate whether a manager is performing well - low costs could mean careful stock selection or inaction on underperforming assets, while high costs can be positive if frequent trades improve returns. </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“So transaction costs aren’t a useful guide for judging a fund’s success or whether the fund is ‘expensive’, nor are they necessarily comparable between funds with different investment strategies.”</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Over the past two years, SJP has replaced the external managers that run many of its funds. </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This could potentially mean the transaction costs rise, because the new manager will sell-off the stocks they do not like, and replace them with stocks they favour incurring transaction costs both times. </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A period where a number of the managers are replaced is therefore likely to lead to higher transaction costs, it is understood.</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adviser.com/st-jamess-place-plc/2025/2/27/sjp-returns-to-profit-despite-new-charging-structure-c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