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ca9l6nb12n8n" w:id="0"/>
      <w:bookmarkEnd w:id="0"/>
      <w:r w:rsidDel="00000000" w:rsidR="00000000" w:rsidRPr="00000000">
        <w:rPr>
          <w:b w:val="1"/>
          <w:bCs w:val="1"/>
          <w:color w:val="1b1b1b"/>
          <w:sz w:val="90"/>
          <w:szCs w:val="90"/>
          <w:rtl w:val="0"/>
        </w:rPr>
        <w:t xml:space="preserve">How stripping out advice fees has changed SJP's fund performance</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ru55v231c8w" w:id="1"/>
      <w:bookmarkEnd w:id="1"/>
      <w:r w:rsidDel="00000000" w:rsidR="00000000" w:rsidRPr="00000000">
        <w:rPr>
          <w:sz w:val="50"/>
          <w:szCs w:val="50"/>
          <w:rtl w:val="0"/>
        </w:rPr>
        <w:t xml:space="preserve">St James's Place has long argued its 'all-in' fee meant comparisons between the performance of its funds and those of rivals were unfair. But that has now changed.</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For years, St James’s Place (</w:t>
      </w:r>
      <w:hyperlink r:id="rId6">
        <w:r w:rsidDel="00000000" w:rsidR="00000000" w:rsidRPr="00000000">
          <w:rPr>
            <w:color w:val="416ed2"/>
            <w:sz w:val="27"/>
            <w:szCs w:val="27"/>
            <w:rtl w:val="0"/>
          </w:rPr>
          <w:t xml:space="preserve">SJP</w:t>
        </w:r>
      </w:hyperlink>
      <w:r w:rsidDel="00000000" w:rsidR="00000000" w:rsidRPr="00000000">
        <w:rPr>
          <w:color w:val="1b1b1b"/>
          <w:sz w:val="27"/>
          <w:szCs w:val="27"/>
          <w:rtl w:val="0"/>
        </w:rPr>
        <w:t xml:space="preserve">) has argued that comparisons between the performance of its funds and those of rivals are unfair.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In </w:t>
      </w:r>
      <w:hyperlink r:id="rId7">
        <w:r w:rsidDel="00000000" w:rsidR="00000000" w:rsidRPr="00000000">
          <w:rPr>
            <w:color w:val="416ed2"/>
            <w:sz w:val="27"/>
            <w:szCs w:val="27"/>
            <w:rtl w:val="0"/>
          </w:rPr>
          <w:t xml:space="preserve">value assessments</w:t>
        </w:r>
      </w:hyperlink>
      <w:r w:rsidDel="00000000" w:rsidR="00000000" w:rsidRPr="00000000">
        <w:rPr>
          <w:color w:val="1b1b1b"/>
          <w:sz w:val="27"/>
          <w:szCs w:val="27"/>
          <w:rtl w:val="0"/>
        </w:rPr>
        <w:t xml:space="preserve"> where its funds have come up short against benchmarks, or in response to </w:t>
      </w:r>
      <w:hyperlink r:id="rId8">
        <w:r w:rsidDel="00000000" w:rsidR="00000000" w:rsidRPr="00000000">
          <w:rPr>
            <w:color w:val="416ed2"/>
            <w:sz w:val="27"/>
            <w:szCs w:val="27"/>
            <w:rtl w:val="0"/>
          </w:rPr>
          <w:t xml:space="preserve">critical reports</w:t>
        </w:r>
      </w:hyperlink>
      <w:r w:rsidDel="00000000" w:rsidR="00000000" w:rsidRPr="00000000">
        <w:rPr>
          <w:color w:val="1b1b1b"/>
          <w:sz w:val="27"/>
          <w:szCs w:val="27"/>
          <w:rtl w:val="0"/>
        </w:rPr>
        <w:t xml:space="preserve"> flagging its funds’ underperformance, SJP has repeatedly pointed to the difference between its fees and those of rivals.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But now, with the financial advice giant having ‘</w:t>
      </w:r>
      <w:hyperlink r:id="rId9">
        <w:r w:rsidDel="00000000" w:rsidR="00000000" w:rsidRPr="00000000">
          <w:rPr>
            <w:color w:val="416ed2"/>
            <w:sz w:val="27"/>
            <w:szCs w:val="27"/>
            <w:rtl w:val="0"/>
          </w:rPr>
          <w:t xml:space="preserve">unbundled</w:t>
        </w:r>
      </w:hyperlink>
      <w:r w:rsidDel="00000000" w:rsidR="00000000" w:rsidRPr="00000000">
        <w:rPr>
          <w:color w:val="1b1b1b"/>
          <w:sz w:val="27"/>
          <w:szCs w:val="27"/>
          <w:rtl w:val="0"/>
        </w:rPr>
        <w:t xml:space="preserve">’ its pricing, like-for-like comparisons with rivals can be made.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Previously, SJP’s ‘all-in’ fund charge bundled together advice, platform and fund management fees.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This undermined comparisons with other funds, which do not carry these advice or platform fees, SJP would argue.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FTSE 100-listed advice business was also at pains to point out in value assessments that these fees created an ‘additional hurdle’ when comparing fund performance to benchmarks.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Alongside the introduction of its new charging structure last month, SJP has published simulated performance data stretching back five years for its funds. To mimic its new fee model, this data strips out the impact of advice and platform charges.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In practice, this has involved discounting a 0.775% charge (0.5% for advice and 0.275% for platform services) each year from performance figures for its funds used by ISA customers.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Over five years, SJP’s funds perform on average 5.6 percentage points better under these simulations, with the biggest difference, of 8.1 percentage points, registered by the best-performing fund over the period, SJP Global Value. A 94.4% return over five years turns into 102.6% once advice and platform charges are removed.</w:t>
      </w:r>
    </w:p>
    <w:p w:rsidR="00000000" w:rsidDel="00000000" w:rsidP="00000000" w:rsidRDefault="00000000" w:rsidRPr="00000000" w14:paraId="0000000C">
      <w:pPr>
        <w:pStyle w:val="Heading2"/>
        <w:keepNext w:val="0"/>
        <w:keepLines w:val="0"/>
        <w:spacing w:after="80" w:lineRule="auto"/>
        <w:rPr>
          <w:b w:val="1"/>
          <w:bCs w:val="1"/>
          <w:color w:val="1b1b1b"/>
          <w:sz w:val="49"/>
          <w:szCs w:val="49"/>
        </w:rPr>
      </w:pPr>
      <w:bookmarkStart w:colFirst="0" w:colLast="0" w:name="_jrh05dprcjfa" w:id="2"/>
      <w:bookmarkEnd w:id="2"/>
      <w:r w:rsidDel="00000000" w:rsidR="00000000" w:rsidRPr="00000000">
        <w:rPr>
          <w:b w:val="1"/>
          <w:bCs w:val="1"/>
          <w:color w:val="1b1b1b"/>
          <w:sz w:val="49"/>
          <w:szCs w:val="49"/>
          <w:rtl w:val="0"/>
        </w:rPr>
        <w:t xml:space="preserve">Index benchmarks are tough to beat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SJP’s funds have been struggling to beat their index benchmarks. The advice group’s </w:t>
      </w:r>
      <w:hyperlink r:id="rId10">
        <w:r w:rsidDel="00000000" w:rsidR="00000000" w:rsidRPr="00000000">
          <w:rPr>
            <w:color w:val="416ed2"/>
            <w:sz w:val="27"/>
            <w:szCs w:val="27"/>
            <w:rtl w:val="0"/>
          </w:rPr>
          <w:t xml:space="preserve">last value assessment</w:t>
        </w:r>
      </w:hyperlink>
      <w:r w:rsidDel="00000000" w:rsidR="00000000" w:rsidRPr="00000000">
        <w:rPr>
          <w:color w:val="1b1b1b"/>
          <w:sz w:val="27"/>
          <w:szCs w:val="27"/>
          <w:rtl w:val="0"/>
        </w:rPr>
        <w:t xml:space="preserve">, covering the year to the end of March 2024, flagged performance issues for three-quarters of its funds, up from nearly two-thirds the previous year.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Performance is improving, however, and stripping out advice and platform costs from the figures provides a further boost.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impact of the fee changes can be seen most clearly in one-year performance figures. Over 12 months to the end of August, 10 of SJP’s 38 funds available to UK investors have outperformed their benchmarks. Strip out the advice and platform service charges, however, and the figure rises to 23 out of 38.</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SJP’s four flagship Polaris funds, which have each marginally lagged their benchmarks over the past year, are ahead when these charges are removed.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Among SJP’s top-performing funds over the past year are those which have turned things around after lagging in previous years, such as </w:t>
      </w:r>
      <w:hyperlink r:id="rId11">
        <w:r w:rsidDel="00000000" w:rsidR="00000000" w:rsidRPr="00000000">
          <w:rPr>
            <w:color w:val="416ed2"/>
            <w:sz w:val="27"/>
            <w:szCs w:val="27"/>
            <w:rtl w:val="0"/>
          </w:rPr>
          <w:t xml:space="preserve">International Equity</w:t>
        </w:r>
      </w:hyperlink>
      <w:r w:rsidDel="00000000" w:rsidR="00000000" w:rsidRPr="00000000">
        <w:rPr>
          <w:color w:val="1b1b1b"/>
          <w:sz w:val="27"/>
          <w:szCs w:val="27"/>
          <w:rtl w:val="0"/>
        </w:rPr>
        <w:t xml:space="preserve">, </w:t>
      </w:r>
      <w:hyperlink r:id="rId12">
        <w:r w:rsidDel="00000000" w:rsidR="00000000" w:rsidRPr="00000000">
          <w:rPr>
            <w:color w:val="416ed2"/>
            <w:sz w:val="27"/>
            <w:szCs w:val="27"/>
            <w:rtl w:val="0"/>
          </w:rPr>
          <w:t xml:space="preserve">Global Growth</w:t>
        </w:r>
      </w:hyperlink>
      <w:r w:rsidDel="00000000" w:rsidR="00000000" w:rsidRPr="00000000">
        <w:rPr>
          <w:color w:val="1b1b1b"/>
          <w:sz w:val="27"/>
          <w:szCs w:val="27"/>
          <w:rtl w:val="0"/>
        </w:rPr>
        <w:t xml:space="preserve"> and </w:t>
      </w:r>
      <w:hyperlink r:id="rId13">
        <w:r w:rsidDel="00000000" w:rsidR="00000000" w:rsidRPr="00000000">
          <w:rPr>
            <w:color w:val="416ed2"/>
            <w:sz w:val="27"/>
            <w:szCs w:val="27"/>
            <w:rtl w:val="0"/>
          </w:rPr>
          <w:t xml:space="preserve">Global Emerging Markets</w:t>
        </w:r>
      </w:hyperlink>
      <w:r w:rsidDel="00000000" w:rsidR="00000000" w:rsidRPr="00000000">
        <w:rPr>
          <w:color w:val="1b1b1b"/>
          <w:sz w:val="27"/>
          <w:szCs w:val="27"/>
          <w:rtl w:val="0"/>
        </w:rPr>
        <w:t xml:space="preserv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SJP has implemented changes to the management of each of the funds over the past five years: </w:t>
      </w:r>
      <w:hyperlink r:id="rId14">
        <w:r w:rsidDel="00000000" w:rsidR="00000000" w:rsidRPr="00000000">
          <w:rPr>
            <w:color w:val="416ed2"/>
            <w:sz w:val="27"/>
            <w:szCs w:val="27"/>
            <w:rtl w:val="0"/>
          </w:rPr>
          <w:t xml:space="preserve">switching International Equity to cheaper managers</w:t>
        </w:r>
      </w:hyperlink>
      <w:r w:rsidDel="00000000" w:rsidR="00000000" w:rsidRPr="00000000">
        <w:rPr>
          <w:color w:val="1b1b1b"/>
          <w:sz w:val="27"/>
          <w:szCs w:val="27"/>
          <w:rtl w:val="0"/>
        </w:rPr>
        <w:t xml:space="preserve"> in the form of State Street and adopting a similar low-cost approach for Global Emerging Markets by </w:t>
      </w:r>
      <w:hyperlink r:id="rId15">
        <w:r w:rsidDel="00000000" w:rsidR="00000000" w:rsidRPr="00000000">
          <w:rPr>
            <w:color w:val="416ed2"/>
            <w:sz w:val="27"/>
            <w:szCs w:val="27"/>
            <w:rtl w:val="0"/>
          </w:rPr>
          <w:t xml:space="preserve">moving to Robeco</w:t>
        </w:r>
      </w:hyperlink>
      <w:r w:rsidDel="00000000" w:rsidR="00000000" w:rsidRPr="00000000">
        <w:rPr>
          <w:color w:val="1b1b1b"/>
          <w:sz w:val="27"/>
          <w:szCs w:val="27"/>
          <w:rtl w:val="0"/>
        </w:rPr>
        <w:t xml:space="preserve">. The management of Global Growth was meanwhile rejigged in 2022.</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Tom Beal, SJP group investment director, said the improvement in performance across the advice business’ funds over the past year was the result of changes to its investment proposition.</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‘It’s predominantly down to the fact we’ve been evolving our approach over the past five years,’ he said, referring to the move first to a multi-manager approach on many of its funds, followed by the centralisation of asset allocation as the Polaris funds have grown.</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‘We’ve made quite a lot of changes, and that’s starting to come through in performance.’</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Over three and five years, stripping out advice and platform charges does not change SJP’s underperformance versus benchmarks. It does improve the picture, however.  </w:t>
      </w:r>
    </w:p>
    <w:p w:rsidR="00000000" w:rsidDel="00000000" w:rsidP="00000000" w:rsidRDefault="00000000" w:rsidRPr="00000000" w14:paraId="00000017">
      <w:pPr>
        <w:pStyle w:val="Heading2"/>
        <w:keepNext w:val="0"/>
        <w:keepLines w:val="0"/>
        <w:spacing w:after="80" w:lineRule="auto"/>
        <w:rPr>
          <w:b w:val="1"/>
          <w:bCs w:val="1"/>
          <w:color w:val="1b1b1b"/>
          <w:sz w:val="49"/>
          <w:szCs w:val="49"/>
        </w:rPr>
      </w:pPr>
      <w:bookmarkStart w:colFirst="0" w:colLast="0" w:name="_yb5il99bvnmy" w:id="3"/>
      <w:bookmarkEnd w:id="3"/>
      <w:r w:rsidDel="00000000" w:rsidR="00000000" w:rsidRPr="00000000">
        <w:rPr>
          <w:b w:val="1"/>
          <w:bCs w:val="1"/>
          <w:color w:val="1b1b1b"/>
          <w:sz w:val="49"/>
          <w:szCs w:val="49"/>
          <w:rtl w:val="0"/>
        </w:rPr>
        <w:t xml:space="preserve">Performance against peers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SJP’s relative performance against peers is significantly stronger than its record against benchmarks. More than three-quarters of its funds with Investment Association (IA) sector benchmarks are ahead of their peers over one year, rising to 87% when advice and platform charges are stripped out.</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A majority of its funds are meanwhile ahead of peers over three years, while the same is the case over five years once advice charges are stripped out.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Stronger relative performance against peers than indices is perhaps no surprise given the struggles of active managers to outperform markets over the past five years. Research by investment platform AJ Bell found just a quarter of active funds outperformed passive alternatives over the five years to the end of June.</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SJP’s multi-asset index benchmarks have proved particularly hard to beat. The advice giant’s </w:t>
      </w:r>
      <w:hyperlink r:id="rId16">
        <w:r w:rsidDel="00000000" w:rsidR="00000000" w:rsidRPr="00000000">
          <w:rPr>
            <w:color w:val="416ed2"/>
            <w:sz w:val="27"/>
            <w:szCs w:val="27"/>
            <w:rtl w:val="0"/>
          </w:rPr>
          <w:t xml:space="preserve">Managed Growth</w:t>
        </w:r>
      </w:hyperlink>
      <w:r w:rsidDel="00000000" w:rsidR="00000000" w:rsidRPr="00000000">
        <w:rPr>
          <w:color w:val="1b1b1b"/>
          <w:sz w:val="27"/>
          <w:szCs w:val="27"/>
          <w:rtl w:val="0"/>
        </w:rPr>
        <w:t xml:space="preserve">, </w:t>
      </w:r>
      <w:hyperlink r:id="rId17">
        <w:r w:rsidDel="00000000" w:rsidR="00000000" w:rsidRPr="00000000">
          <w:rPr>
            <w:color w:val="416ed2"/>
            <w:sz w:val="27"/>
            <w:szCs w:val="27"/>
            <w:rtl w:val="0"/>
          </w:rPr>
          <w:t xml:space="preserve">Strategic Income</w:t>
        </w:r>
      </w:hyperlink>
      <w:r w:rsidDel="00000000" w:rsidR="00000000" w:rsidRPr="00000000">
        <w:rPr>
          <w:color w:val="1b1b1b"/>
          <w:sz w:val="27"/>
          <w:szCs w:val="27"/>
          <w:rtl w:val="0"/>
        </w:rPr>
        <w:t xml:space="preserve"> and </w:t>
      </w:r>
      <w:hyperlink r:id="rId18">
        <w:r w:rsidDel="00000000" w:rsidR="00000000" w:rsidRPr="00000000">
          <w:rPr>
            <w:color w:val="416ed2"/>
            <w:sz w:val="27"/>
            <w:szCs w:val="27"/>
            <w:rtl w:val="0"/>
          </w:rPr>
          <w:t xml:space="preserve">Balanced Managed</w:t>
        </w:r>
      </w:hyperlink>
      <w:r w:rsidDel="00000000" w:rsidR="00000000" w:rsidRPr="00000000">
        <w:rPr>
          <w:color w:val="1b1b1b"/>
          <w:sz w:val="27"/>
          <w:szCs w:val="27"/>
          <w:rtl w:val="0"/>
        </w:rPr>
        <w:t xml:space="preserve"> funds are all ahead of the average in their IA mixed asset sectors over five years once advice and platform charges are removed, yet trail their indices.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The advice giant’s multi-asset funds – with the exception of Strategic Income – are also benchmarked against the ARC Private Client Indices, which are based on the performance of discretionary portfolios.</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Against that measure, SJP’s performance is emphatic: all of its funds benchmarked against ARC indices beat them over one, three and five years, whether advice and platform charges are included or not.</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This includes the Polaris range over one year, the </w:t>
      </w:r>
      <w:hyperlink r:id="rId19">
        <w:r w:rsidDel="00000000" w:rsidR="00000000" w:rsidRPr="00000000">
          <w:rPr>
            <w:color w:val="416ed2"/>
            <w:sz w:val="27"/>
            <w:szCs w:val="27"/>
            <w:rtl w:val="0"/>
          </w:rPr>
          <w:t xml:space="preserve">InRetirement range</w:t>
        </w:r>
      </w:hyperlink>
      <w:r w:rsidDel="00000000" w:rsidR="00000000" w:rsidRPr="00000000">
        <w:rPr>
          <w:color w:val="1b1b1b"/>
          <w:sz w:val="27"/>
          <w:szCs w:val="27"/>
          <w:rtl w:val="0"/>
        </w:rPr>
        <w:t xml:space="preserve"> over one and three years, and the </w:t>
      </w:r>
      <w:hyperlink r:id="rId20">
        <w:r w:rsidDel="00000000" w:rsidR="00000000" w:rsidRPr="00000000">
          <w:rPr>
            <w:color w:val="416ed2"/>
            <w:sz w:val="27"/>
            <w:szCs w:val="27"/>
            <w:rtl w:val="0"/>
          </w:rPr>
          <w:t xml:space="preserve">Strategic Managed</w:t>
        </w:r>
      </w:hyperlink>
      <w:r w:rsidDel="00000000" w:rsidR="00000000" w:rsidRPr="00000000">
        <w:rPr>
          <w:color w:val="1b1b1b"/>
          <w:sz w:val="27"/>
          <w:szCs w:val="27"/>
          <w:rtl w:val="0"/>
        </w:rPr>
        <w:t xml:space="preserve">, Managed Growth and Balanced Managed funds, over one, three and five years. </w:t>
      </w:r>
    </w:p>
    <w:p w:rsidR="00000000" w:rsidDel="00000000" w:rsidP="00000000" w:rsidRDefault="00000000" w:rsidRPr="00000000" w14:paraId="0000001F">
      <w:pPr>
        <w:pStyle w:val="Heading2"/>
        <w:keepNext w:val="0"/>
        <w:keepLines w:val="0"/>
        <w:spacing w:after="80" w:lineRule="auto"/>
        <w:rPr>
          <w:b w:val="1"/>
          <w:bCs w:val="1"/>
          <w:color w:val="1b1b1b"/>
          <w:sz w:val="49"/>
          <w:szCs w:val="49"/>
        </w:rPr>
      </w:pPr>
      <w:bookmarkStart w:colFirst="0" w:colLast="0" w:name="_201lj0kkdgnu" w:id="4"/>
      <w:bookmarkEnd w:id="4"/>
      <w:r w:rsidDel="00000000" w:rsidR="00000000" w:rsidRPr="00000000">
        <w:rPr>
          <w:b w:val="1"/>
          <w:bCs w:val="1"/>
          <w:color w:val="1b1b1b"/>
          <w:sz w:val="49"/>
          <w:szCs w:val="49"/>
          <w:rtl w:val="0"/>
        </w:rPr>
        <w:t xml:space="preserve">Polaris beats LifeStrategy</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Increasingly, the best gauge of SJP’s investment performance comes from its </w:t>
      </w:r>
      <w:hyperlink r:id="rId21">
        <w:r w:rsidDel="00000000" w:rsidR="00000000" w:rsidRPr="00000000">
          <w:rPr>
            <w:color w:val="416ed2"/>
            <w:sz w:val="27"/>
            <w:szCs w:val="27"/>
            <w:rtl w:val="0"/>
          </w:rPr>
          <w:t xml:space="preserve">Polaris funds</w:t>
        </w:r>
      </w:hyperlink>
      <w:r w:rsidDel="00000000" w:rsidR="00000000" w:rsidRPr="00000000">
        <w:rPr>
          <w:color w:val="1b1b1b"/>
          <w:sz w:val="27"/>
          <w:szCs w:val="27"/>
          <w:rtl w:val="0"/>
        </w:rPr>
        <w:t xml:space="preserve">. The giant £74bn fund range invests predominantly in SJP’s funds, alongside some index funds, and is for many clients their means of accessing the advice group’s investment proposition.</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While the funds are marginally ahead of their index benchmarks over one year, when advice and platform charges are removed, they lag slightly over the period since their launch in November 2022.</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Performance against peers is much more impressive, however. Each of the funds has beaten their average returns of rivals in their respective IA sector benchmarks by a significant margin.</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 funds have also topped the returns of their equivalents in the low-cost passive Vanguard LifeStrategy range, their </w:t>
      </w:r>
      <w:hyperlink r:id="rId22">
        <w:r w:rsidDel="00000000" w:rsidR="00000000" w:rsidRPr="00000000">
          <w:rPr>
            <w:color w:val="416ed2"/>
            <w:sz w:val="27"/>
            <w:szCs w:val="27"/>
            <w:rtl w:val="0"/>
          </w:rPr>
          <w:t xml:space="preserve">closest multi-asset competitors in size</w:t>
        </w:r>
      </w:hyperlink>
      <w:r w:rsidDel="00000000" w:rsidR="00000000" w:rsidRPr="00000000">
        <w:rPr>
          <w:color w:val="1b1b1b"/>
          <w:sz w:val="27"/>
          <w:szCs w:val="27"/>
          <w:rtl w:val="0"/>
        </w:rPr>
        <w:t xml:space="preserve">, since their launch.</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That’s despite a difficult environment for active fund managers over the period. Beal said asset allocation calls, such as favouring undervalued European, UK and Japanese stocks, and the hedging out of US dollar exposure, had driven some of the performance.</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itywire.com/wealth-manager/fund/st-jamess-strategic-managed/c263938?utm_medium=website&amp;utm_source=citywire_wm&amp;utm_campaign=article-in-body" TargetMode="External"/><Relationship Id="rId11" Type="http://schemas.openxmlformats.org/officeDocument/2006/relationships/hyperlink" Target="https://citywire.com/wealth-manager/fund/international-equity/c8143?utm_medium=website&amp;utm_source=citywire_wm&amp;utm_campaign=article-in-body" TargetMode="External"/><Relationship Id="rId22" Type="http://schemas.openxmlformats.org/officeDocument/2006/relationships/hyperlink" Target="https://citywire.com/wealth-manager/news/sjp-s-polaris-funds-hit-46bn-and-overtake-vanguard-lifestrategy/a2447887?utm_medium=website&amp;utm_source=citywire_wm&amp;utm_campaign=article-in-body" TargetMode="External"/><Relationship Id="rId10" Type="http://schemas.openxmlformats.org/officeDocument/2006/relationships/hyperlink" Target="https://citywire.com/wealth-manager/news/sjp-13-funds-fail-value-test-75-fall-short-on-performance/a2450976?utm_medium=website&amp;utm_source=citywire_wm&amp;utm_campaign=article-in-body" TargetMode="External"/><Relationship Id="rId21" Type="http://schemas.openxmlformats.org/officeDocument/2006/relationships/hyperlink" Target="https://citywire.com/wealth-manager/news/from-zero-to-37bn-in-16-months-inside-sjp-s-polaris-funds/a2444760?utm_medium=website&amp;utm_source=citywire_wm&amp;utm_campaign=article-in-body" TargetMode="External"/><Relationship Id="rId13" Type="http://schemas.openxmlformats.org/officeDocument/2006/relationships/hyperlink" Target="https://citywire.com/wealth-manager/fund/st-jamess-global-emerging-markets/c263942?utm_medium=website&amp;utm_source=citywire_wm&amp;utm_campaign=article-in-body" TargetMode="External"/><Relationship Id="rId12" Type="http://schemas.openxmlformats.org/officeDocument/2006/relationships/hyperlink" Target="https://citywire.com/wealth-manager/fund/st-jamess-place-global-growth-unit-trust/c640061?utm_medium=website&amp;utm_source=citywire_wm&amp;utm_campaign=article-in-bo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ywire.com/wealth-manager/news/an-sjp-fund-for-just-0-09-how-its-new-charges-stack-up/a2473217?utm_medium=website&amp;utm_source=citywire_wm&amp;utm_campaign=article-in-body" TargetMode="External"/><Relationship Id="rId15" Type="http://schemas.openxmlformats.org/officeDocument/2006/relationships/hyperlink" Target="https://citywire.com/wealth-manager/news/somerset-capital-pressure-mounts-as-sjp-cuts-ties-on-fee-concern/a2431843?utm_medium=website&amp;utm_source=citywire_wm&amp;utm_campaign=article-in-body" TargetMode="External"/><Relationship Id="rId14" Type="http://schemas.openxmlformats.org/officeDocument/2006/relationships/hyperlink" Target="https://citywire.com/wealth-manager/news/an-sjp-fund-for-just-0-09-how-its-new-charges-stack-up/a2473217?utm_medium=website&amp;utm_source=citywire_wm&amp;utm_campaign=article-in-body" TargetMode="External"/><Relationship Id="rId17" Type="http://schemas.openxmlformats.org/officeDocument/2006/relationships/hyperlink" Target="https://citywire.com/wealth-manager/fund/st-jamess-place-strategic-income-fund/c585054?utm_medium=website&amp;utm_source=citywire_wm&amp;utm_campaign=article-in-body" TargetMode="External"/><Relationship Id="rId16" Type="http://schemas.openxmlformats.org/officeDocument/2006/relationships/hyperlink" Target="https://citywire.com/wealth-manager/fund/st-jamess-managed-growth/c263936?utm_medium=website&amp;utm_source=citywire_wm&amp;utm_campaign=article-in-body" TargetMode="External"/><Relationship Id="rId5" Type="http://schemas.openxmlformats.org/officeDocument/2006/relationships/styles" Target="styles.xml"/><Relationship Id="rId19" Type="http://schemas.openxmlformats.org/officeDocument/2006/relationships/hyperlink" Target="https://citywire.com/wealth-manager/news/sjp-joins-forces-with-state-street-for-retirement-range/a1401736?utm_medium=website&amp;utm_source=citywire_wm&amp;utm_campaign=article-in-body" TargetMode="External"/><Relationship Id="rId6" Type="http://schemas.openxmlformats.org/officeDocument/2006/relationships/hyperlink" Target="https://citywire.com/wealth-manager/news/company/sjp/j32?utm_medium=website&amp;utm_source=citywire_wm&amp;utm_campaign=article-in-body" TargetMode="External"/><Relationship Id="rId18" Type="http://schemas.openxmlformats.org/officeDocument/2006/relationships/hyperlink" Target="https://citywire.com/wealth-manager/fund/st-jamess-balanced-managed/c263934?utm_medium=website&amp;utm_source=citywire_wm&amp;utm_campaign=article-in-body" TargetMode="External"/><Relationship Id="rId7" Type="http://schemas.openxmlformats.org/officeDocument/2006/relationships/hyperlink" Target="https://citywire.com/wealth-manager/news/sjp-13-funds-fail-value-test-75-fall-short-on-performance/a2450976?utm_medium=website&amp;utm_source=citywire_wm&amp;utm_campaign=article-in-body" TargetMode="External"/><Relationship Id="rId8" Type="http://schemas.openxmlformats.org/officeDocument/2006/relationships/hyperlink" Target="https://citywire.com/wealth-manager/news/sjp-leads-the-pack-with-15bn-in-dog-funds/a2460281?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